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r>
        <w:rPr>
          <w:rFonts w:ascii="黑体" w:hAnsi="黑体" w:eastAsia="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sz w:val="32"/>
          <w:szCs w:val="32"/>
        </w:rPr>
        <w:instrText xml:space="preserve">ADDIN CNKISM.UserStyle</w:instrText>
      </w:r>
      <w:r>
        <w:rPr>
          <w:rFonts w:ascii="黑体" w:hAnsi="黑体" w:eastAsia="黑体"/>
          <w:sz w:val="32"/>
          <w:szCs w:val="32"/>
        </w:rPr>
        <w:fldChar w:fldCharType="end"/>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b/>
          <w:bCs/>
          <w:sz w:val="44"/>
          <w:szCs w:val="44"/>
        </w:rPr>
      </w:pPr>
      <w:bookmarkStart w:id="0" w:name="_Toc48651950"/>
      <w:bookmarkStart w:id="1" w:name="_Toc19290389"/>
      <w:bookmarkStart w:id="2" w:name="_Toc19313550"/>
      <w:bookmarkStart w:id="3" w:name="_Toc19293418"/>
      <w:bookmarkStart w:id="4" w:name="_Toc19313009"/>
      <w:bookmarkStart w:id="5" w:name="_Toc19313109"/>
      <w:bookmarkStart w:id="6" w:name="_Toc19305542"/>
      <w:bookmarkStart w:id="7" w:name="_Toc49675940"/>
      <w:bookmarkStart w:id="8" w:name="_Toc48655329"/>
      <w:bookmarkStart w:id="9" w:name="_Toc48655856"/>
      <w:bookmarkStart w:id="10" w:name="_Toc48725372"/>
      <w:bookmarkStart w:id="11" w:name="_Toc50394416"/>
      <w:bookmarkStart w:id="12" w:name="_Toc48724915"/>
      <w:r>
        <w:rPr>
          <w:rFonts w:hint="eastAsia" w:ascii="黑体" w:hAnsi="黑体" w:eastAsia="黑体"/>
          <w:b/>
          <w:bCs/>
          <w:sz w:val="44"/>
          <w:szCs w:val="44"/>
        </w:rPr>
        <w:t>2020年</w:t>
      </w:r>
      <w:r>
        <w:rPr>
          <w:rFonts w:hint="eastAsia" w:ascii="黑体" w:hAnsi="黑体" w:eastAsia="黑体"/>
          <w:b/>
          <w:bCs/>
          <w:sz w:val="44"/>
          <w:szCs w:val="44"/>
          <w:lang w:val="en-US" w:eastAsia="zh-CN"/>
        </w:rPr>
        <w:t>全国</w:t>
      </w:r>
      <w:r>
        <w:rPr>
          <w:rFonts w:hint="eastAsia" w:ascii="黑体" w:hAnsi="黑体" w:eastAsia="黑体"/>
          <w:b/>
          <w:bCs/>
          <w:sz w:val="44"/>
          <w:szCs w:val="44"/>
        </w:rPr>
        <w:t>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p>
    <w:p>
      <w:pPr>
        <w:ind w:firstLine="883"/>
        <w:jc w:val="center"/>
        <w:rPr>
          <w:rFonts w:ascii="黑体" w:hAnsi="黑体" w:eastAsia="黑体"/>
          <w:b/>
          <w:bCs/>
          <w:sz w:val="44"/>
          <w:szCs w:val="44"/>
        </w:rPr>
      </w:pPr>
      <w:bookmarkStart w:id="13" w:name="_Toc48725373"/>
      <w:bookmarkStart w:id="14" w:name="_Toc19305543"/>
      <w:bookmarkStart w:id="15" w:name="_Toc48724916"/>
      <w:bookmarkStart w:id="16" w:name="_Toc19313110"/>
      <w:bookmarkStart w:id="17" w:name="_Toc50394417"/>
      <w:bookmarkStart w:id="18" w:name="_Toc48655330"/>
      <w:bookmarkStart w:id="19" w:name="_Toc19293419"/>
      <w:bookmarkStart w:id="20" w:name="_Toc19313010"/>
      <w:bookmarkStart w:id="21" w:name="_Toc19313551"/>
      <w:bookmarkStart w:id="22" w:name="_Toc49675941"/>
      <w:bookmarkStart w:id="23" w:name="_Toc48655857"/>
      <w:bookmarkStart w:id="24" w:name="_Toc48651951"/>
      <w:bookmarkStart w:id="25" w:name="_Toc19290390"/>
      <w:r>
        <w:rPr>
          <w:rFonts w:hint="eastAsia" w:ascii="黑体" w:hAnsi="黑体" w:eastAsia="黑体"/>
          <w:b/>
          <w:bCs/>
          <w:sz w:val="44"/>
          <w:szCs w:val="44"/>
        </w:rPr>
        <w:t>统计报告</w:t>
      </w:r>
      <w:bookmarkEnd w:id="13"/>
      <w:bookmarkEnd w:id="14"/>
      <w:bookmarkEnd w:id="15"/>
      <w:bookmarkEnd w:id="16"/>
      <w:bookmarkEnd w:id="17"/>
      <w:bookmarkEnd w:id="18"/>
      <w:bookmarkEnd w:id="19"/>
      <w:bookmarkEnd w:id="20"/>
      <w:bookmarkEnd w:id="21"/>
      <w:bookmarkEnd w:id="22"/>
      <w:bookmarkEnd w:id="23"/>
      <w:bookmarkEnd w:id="24"/>
      <w:bookmarkEnd w:id="25"/>
    </w:p>
    <w:p>
      <w:pPr>
        <w:ind w:firstLine="720"/>
        <w:jc w:val="center"/>
        <w:rPr>
          <w:rFonts w:ascii="黑体" w:hAnsi="黑体" w:eastAsia="黑体"/>
          <w:sz w:val="36"/>
          <w:szCs w:val="36"/>
        </w:rPr>
      </w:pPr>
      <w:r>
        <w:rPr>
          <w:rFonts w:hint="eastAsia" w:ascii="黑体" w:hAnsi="黑体" w:eastAsia="黑体"/>
          <w:sz w:val="36"/>
          <w:szCs w:val="36"/>
        </w:rPr>
        <w:t>（从业人员版）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883"/>
        <w:jc w:val="center"/>
        <w:rPr>
          <w:rFonts w:ascii="黑体" w:hAnsi="黑体" w:eastAsia="黑体"/>
          <w:b/>
          <w:bCs/>
          <w:sz w:val="44"/>
          <w:szCs w:val="44"/>
        </w:rPr>
      </w:pPr>
      <w:r>
        <w:rPr>
          <w:rFonts w:hint="eastAsia" w:ascii="黑体" w:hAnsi="黑体" w:eastAsia="黑体"/>
          <w:b/>
          <w:bCs/>
          <w:sz w:val="44"/>
          <w:szCs w:val="44"/>
        </w:rPr>
        <w:t>江西卷</w:t>
      </w:r>
    </w:p>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1"/>
        <w:gridCol w:w="6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江西省公安厅网络安全保卫总队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江西省网络空间安全协会（筹）等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611"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0"/>
        <w:jc w:val="center"/>
        <w:rPr>
          <w:rFonts w:ascii="黑体" w:hAnsi="黑体" w:eastAsia="黑体"/>
          <w:bCs/>
          <w:sz w:val="28"/>
          <w:szCs w:val="28"/>
        </w:rPr>
      </w:pPr>
      <w:r>
        <w:rPr>
          <w:rFonts w:hint="eastAsia" w:ascii="黑体" w:hAnsi="黑体" w:eastAsia="黑体"/>
          <w:bCs/>
          <w:sz w:val="28"/>
          <w:szCs w:val="28"/>
        </w:rPr>
        <w:t>2020-9</w:t>
      </w:r>
    </w:p>
    <w:p/>
    <w:p/>
    <w:p/>
    <w:p/>
    <w:p/>
    <w:p/>
    <w:p/>
    <w:p/>
    <w:p/>
    <w:p/>
    <w:p/>
    <w:p/>
    <w:p/>
    <w:p/>
    <w:p/>
    <w:p/>
    <w:p/>
    <w:p/>
    <w:p/>
    <w:p/>
    <w:p/>
    <w:p/>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26"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16"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26"/>
    </w:p>
    <w:p>
      <w:pPr>
        <w:pStyle w:val="14"/>
        <w:spacing w:line="420" w:lineRule="exact"/>
        <w:rPr>
          <w:rFonts w:ascii="黑体" w:hAnsi="黑体" w:eastAsia="黑体" w:cs="黑体"/>
        </w:rPr>
      </w:pPr>
      <w:bookmarkStart w:id="27" w:name="_Toc19203632"/>
      <w:r>
        <w:rPr>
          <w:rFonts w:ascii="黑体" w:hAnsi="黑体" w:eastAsia="黑体" w:cs="黑体"/>
        </w:rPr>
        <w:t>网络安全共建网：www.iscn.org.cn“网安联”公众号：</w:t>
      </w:r>
      <w:bookmarkEnd w:id="27"/>
    </w:p>
    <w:p>
      <w:pPr>
        <w:spacing w:before="120" w:beforeLines="50" w:line="420" w:lineRule="exact"/>
        <w:rPr>
          <w:rFonts w:ascii="黑体" w:hAnsi="黑体" w:eastAsia="黑体" w:cs="黑体"/>
        </w:rPr>
      </w:pPr>
      <w:r>
        <w:rPr>
          <w:rFonts w:hint="eastAsia" w:ascii="黑体" w:hAnsi="黑体" w:eastAsia="黑体" w:cs="黑体"/>
        </w:rPr>
        <w:t>联系方式：办公室020-83113010/林先生：13911345288</w:t>
      </w:r>
      <w:bookmarkStart w:id="216" w:name="_GoBack"/>
      <w:bookmarkEnd w:id="216"/>
    </w:p>
    <w:p>
      <w:pPr>
        <w:pBdr>
          <w:bottom w:val="thinThickThinMediumGap" w:color="auto" w:sz="18" w:space="0"/>
        </w:pBdr>
        <w:spacing w:after="120" w:afterLines="50" w:line="420" w:lineRule="exact"/>
        <w:rPr>
          <w:rFonts w:ascii="黑体" w:hAnsi="黑体" w:eastAsia="黑体" w:cs="黑体"/>
        </w:rPr>
      </w:pPr>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pgNumType w:fmt="upperRoman"/>
          <w:cols w:space="708" w:num="1"/>
          <w:docGrid w:linePitch="360" w:charSpace="0"/>
        </w:sectPr>
      </w:pPr>
    </w:p>
    <w:p>
      <w:pPr>
        <w:widowControl/>
        <w:adjustRightInd/>
        <w:snapToGrid/>
        <w:spacing w:line="240" w:lineRule="auto"/>
        <w:ind w:firstLine="0" w:firstLineChars="0"/>
        <w:jc w:val="left"/>
      </w:pPr>
    </w:p>
    <w:p>
      <w:pPr>
        <w:pStyle w:val="11"/>
        <w:ind w:firstLine="482"/>
        <w:jc w:val="center"/>
        <w:rPr>
          <w:b/>
          <w:bCs/>
        </w:rPr>
        <w:sectPr>
          <w:footerReference r:id="rId9" w:type="default"/>
          <w:type w:val="continuous"/>
          <w:pgSz w:w="11906" w:h="16838"/>
          <w:pgMar w:top="1440" w:right="1797" w:bottom="1440" w:left="1797" w:header="709" w:footer="709" w:gutter="0"/>
          <w:pgNumType w:fmt="upperRoman" w:start="1"/>
          <w:cols w:space="708" w:num="1"/>
          <w:docGrid w:linePitch="360" w:charSpace="0"/>
        </w:sectPr>
      </w:pPr>
    </w:p>
    <w:p>
      <w:pPr>
        <w:widowControl/>
        <w:adjustRightInd/>
        <w:snapToGrid/>
        <w:spacing w:line="240" w:lineRule="auto"/>
        <w:ind w:firstLine="0" w:firstLineChars="0"/>
        <w:jc w:val="left"/>
      </w:pPr>
    </w:p>
    <w:sdt>
      <w:sdtPr>
        <w:rPr>
          <w:b/>
          <w:bCs/>
          <w:lang w:val="zh-CN"/>
        </w:rPr>
        <w:id w:val="3374630"/>
        <w:docPartObj>
          <w:docPartGallery w:val="Table of Contents"/>
          <w:docPartUnique/>
        </w:docPartObj>
      </w:sdtPr>
      <w:sdtEndPr>
        <w:rPr>
          <w:b w:val="0"/>
          <w:bCs w:val="0"/>
          <w:lang w:val="en-US"/>
        </w:rPr>
      </w:sdtEndPr>
      <w:sdtContent>
        <w:p>
          <w:pPr>
            <w:pStyle w:val="11"/>
            <w:ind w:firstLine="482"/>
            <w:jc w:val="center"/>
            <w:rPr>
              <w:b/>
              <w:bCs/>
              <w:sz w:val="30"/>
              <w:szCs w:val="30"/>
            </w:rPr>
          </w:pPr>
          <w:r>
            <w:rPr>
              <w:b/>
              <w:bCs/>
              <w:sz w:val="30"/>
              <w:szCs w:val="30"/>
              <w:lang w:val="zh-CN"/>
            </w:rPr>
            <w:t>目录</w:t>
          </w:r>
        </w:p>
        <w:p>
          <w:pPr>
            <w:pStyle w:val="11"/>
            <w:tabs>
              <w:tab w:val="right" w:leader="dot" w:pos="8312"/>
            </w:tabs>
          </w:pPr>
          <w:r>
            <w:fldChar w:fldCharType="begin"/>
          </w:r>
          <w:r>
            <w:instrText xml:space="preserve"> TOC \o "1-3" \h \z \u </w:instrText>
          </w:r>
          <w:r>
            <w:fldChar w:fldCharType="separate"/>
          </w:r>
          <w:r>
            <w:fldChar w:fldCharType="begin"/>
          </w:r>
          <w:r>
            <w:instrText xml:space="preserve"> HYPERLINK \l "_Toc20286" </w:instrText>
          </w:r>
          <w:r>
            <w:fldChar w:fldCharType="separate"/>
          </w:r>
          <w:r>
            <w:rPr>
              <w:rFonts w:hint="eastAsia"/>
              <w:bCs/>
            </w:rPr>
            <w:t>一、前言</w:t>
          </w:r>
          <w:r>
            <w:tab/>
          </w:r>
          <w:r>
            <w:fldChar w:fldCharType="begin"/>
          </w:r>
          <w:r>
            <w:instrText xml:space="preserve"> PAGEREF _Toc20286 </w:instrText>
          </w:r>
          <w:r>
            <w:fldChar w:fldCharType="separate"/>
          </w:r>
          <w:r>
            <w:t>3</w:t>
          </w:r>
          <w:r>
            <w:fldChar w:fldCharType="end"/>
          </w:r>
          <w:r>
            <w:fldChar w:fldCharType="end"/>
          </w:r>
        </w:p>
        <w:p>
          <w:pPr>
            <w:pStyle w:val="11"/>
            <w:tabs>
              <w:tab w:val="right" w:leader="dot" w:pos="8312"/>
            </w:tabs>
          </w:pPr>
          <w:r>
            <w:fldChar w:fldCharType="begin"/>
          </w:r>
          <w:r>
            <w:instrText xml:space="preserve"> HYPERLINK \l "_Toc10525" </w:instrText>
          </w:r>
          <w:r>
            <w:fldChar w:fldCharType="separate"/>
          </w:r>
          <w:r>
            <w:rPr>
              <w:rFonts w:hint="eastAsia"/>
              <w:bCs/>
            </w:rPr>
            <w:t>二、主要发现</w:t>
          </w:r>
          <w:r>
            <w:tab/>
          </w:r>
          <w:r>
            <w:fldChar w:fldCharType="begin"/>
          </w:r>
          <w:r>
            <w:instrText xml:space="preserve"> PAGEREF _Toc10525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"_Toc28778" </w:instrText>
          </w:r>
          <w:r>
            <w:fldChar w:fldCharType="separate"/>
          </w:r>
          <w:r>
            <w:rPr>
              <w:rFonts w:hint="eastAsia"/>
              <w:bCs/>
            </w:rPr>
            <w:t>2.1从业人员网络安全感相对较高</w:t>
          </w:r>
          <w:r>
            <w:tab/>
          </w:r>
          <w:r>
            <w:fldChar w:fldCharType="begin"/>
          </w:r>
          <w:r>
            <w:instrText xml:space="preserve"> PAGEREF _Toc28778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"_Toc16635" </w:instrText>
          </w:r>
          <w:r>
            <w:fldChar w:fldCharType="separate"/>
          </w:r>
          <w:r>
            <w:rPr>
              <w:rFonts w:hint="eastAsia"/>
              <w:bCs/>
            </w:rPr>
            <w:t>2.2网络安全态势严峻，管理和风险评估机制受到关注</w:t>
          </w:r>
          <w:r>
            <w:tab/>
          </w:r>
          <w:r>
            <w:fldChar w:fldCharType="begin"/>
          </w:r>
          <w:r>
            <w:instrText xml:space="preserve"> PAGEREF _Toc16635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"_Toc11338" </w:instrText>
          </w:r>
          <w:r>
            <w:fldChar w:fldCharType="separate"/>
          </w:r>
          <w:r>
            <w:rPr>
              <w:rFonts w:hint="eastAsia"/>
            </w:rPr>
            <w:t>2.3信息泄露、网络诈骗等问题仍比较突出，打击网络黑灰产业成为关注热点</w:t>
          </w:r>
          <w:r>
            <w:tab/>
          </w:r>
          <w:r>
            <w:fldChar w:fldCharType="begin"/>
          </w:r>
          <w:r>
            <w:instrText xml:space="preserve"> PAGEREF _Toc11338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"_Toc8706" </w:instrText>
          </w:r>
          <w:r>
            <w:fldChar w:fldCharType="separate"/>
          </w:r>
          <w:r>
            <w:rPr>
              <w:rFonts w:hint="eastAsia"/>
            </w:rPr>
            <w:t>2.4网络安全依法治理不断完善，加强法制建设成为主要诉求</w:t>
          </w:r>
          <w:r>
            <w:tab/>
          </w:r>
          <w:r>
            <w:fldChar w:fldCharType="begin"/>
          </w:r>
          <w:r>
            <w:instrText xml:space="preserve"> PAGEREF _Toc8706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"_Toc28126" </w:instrText>
          </w:r>
          <w:r>
            <w:fldChar w:fldCharType="separate"/>
          </w:r>
          <w:r>
            <w:rPr>
              <w:rFonts w:hint="eastAsia"/>
            </w:rPr>
            <w:t>2.5网络安全监管取得成效，网络安全等级保护制度进一步落实</w:t>
          </w:r>
          <w:r>
            <w:tab/>
          </w:r>
          <w:r>
            <w:fldChar w:fldCharType="begin"/>
          </w:r>
          <w:r>
            <w:instrText xml:space="preserve"> PAGEREF _Toc28126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"_Toc18289" </w:instrText>
          </w:r>
          <w:r>
            <w:fldChar w:fldCharType="separate"/>
          </w:r>
          <w:r>
            <w:rPr>
              <w:rFonts w:hint="eastAsia"/>
            </w:rPr>
            <w:t>2.6企业网络安全合规遵循有所加强，网络安全管理有所改善</w:t>
          </w:r>
          <w:r>
            <w:tab/>
          </w:r>
          <w:r>
            <w:fldChar w:fldCharType="begin"/>
          </w:r>
          <w:r>
            <w:instrText xml:space="preserve"> PAGEREF _Toc18289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"_Toc30388" </w:instrText>
          </w:r>
          <w:r>
            <w:fldChar w:fldCharType="separate"/>
          </w:r>
          <w:r>
            <w:rPr>
              <w:rFonts w:hint="eastAsia"/>
            </w:rPr>
            <w:t>2.7新技术应用发展迅速，安全风险受到关注</w:t>
          </w:r>
          <w:r>
            <w:tab/>
          </w:r>
          <w:r>
            <w:fldChar w:fldCharType="begin"/>
          </w:r>
          <w:r>
            <w:instrText xml:space="preserve"> PAGEREF _Toc30388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"_Toc6819" </w:instrText>
          </w:r>
          <w:r>
            <w:fldChar w:fldCharType="separate"/>
          </w:r>
          <w:r>
            <w:rPr>
              <w:rFonts w:hint="eastAsia"/>
            </w:rPr>
            <w:t>2.8网络安全行业进入快速发展阶段，技术研发和人才培养是关键</w:t>
          </w:r>
          <w:r>
            <w:tab/>
          </w:r>
          <w:r>
            <w:fldChar w:fldCharType="begin"/>
          </w:r>
          <w:r>
            <w:instrText xml:space="preserve"> PAGEREF _Toc6819 </w:instrText>
          </w:r>
          <w:r>
            <w:fldChar w:fldCharType="separate"/>
          </w:r>
          <w:r>
            <w:t>7</w:t>
          </w:r>
          <w:r>
            <w:fldChar w:fldCharType="end"/>
          </w:r>
          <w:r>
            <w:fldChar w:fldCharType="end"/>
          </w:r>
        </w:p>
        <w:p>
          <w:pPr>
            <w:pStyle w:val="11"/>
            <w:tabs>
              <w:tab w:val="right" w:leader="dot" w:pos="8312"/>
            </w:tabs>
          </w:pPr>
          <w:r>
            <w:fldChar w:fldCharType="begin"/>
          </w:r>
          <w:r>
            <w:instrText xml:space="preserve"> HYPERLINK \l "_Toc10401" </w:instrText>
          </w:r>
          <w:r>
            <w:fldChar w:fldCharType="separate"/>
          </w:r>
          <w:r>
            <w:rPr>
              <w:rFonts w:hint="eastAsia"/>
            </w:rPr>
            <w:t xml:space="preserve">三、 </w:t>
          </w:r>
          <w:r>
            <w:rPr>
              <w:rFonts w:hint="eastAsia"/>
              <w:bCs/>
            </w:rPr>
            <w:t>网民基本情况</w:t>
          </w:r>
          <w:r>
            <w:tab/>
          </w:r>
          <w:r>
            <w:fldChar w:fldCharType="begin"/>
          </w:r>
          <w:r>
            <w:instrText xml:space="preserve"> PAGEREF _Toc10401 </w:instrText>
          </w:r>
          <w:r>
            <w:fldChar w:fldCharType="separate"/>
          </w:r>
          <w:r>
            <w:t>1</w:t>
          </w:r>
          <w:r>
            <w:fldChar w:fldCharType="end"/>
          </w:r>
          <w:r>
            <w:fldChar w:fldCharType="end"/>
          </w:r>
        </w:p>
        <w:p>
          <w:pPr>
            <w:pStyle w:val="13"/>
            <w:tabs>
              <w:tab w:val="right" w:leader="dot" w:pos="8312"/>
            </w:tabs>
            <w:ind w:left="480"/>
          </w:pPr>
          <w:r>
            <w:fldChar w:fldCharType="begin"/>
          </w:r>
          <w:r>
            <w:instrText xml:space="preserve"> HYPERLINK \l "_Toc9334" </w:instrText>
          </w:r>
          <w:r>
            <w:fldChar w:fldCharType="separate"/>
          </w:r>
          <w:r>
            <w:rPr>
              <w:rFonts w:hint="eastAsia"/>
              <w:bCs/>
            </w:rPr>
            <w:t>3.1</w:t>
          </w:r>
          <w:r>
            <w:rPr>
              <w:bCs/>
            </w:rPr>
            <w:t xml:space="preserve"> </w:t>
          </w:r>
          <w:r>
            <w:rPr>
              <w:rFonts w:hint="eastAsia"/>
              <w:bCs/>
            </w:rPr>
            <w:t>性别分布</w:t>
          </w:r>
          <w:r>
            <w:tab/>
          </w:r>
          <w:r>
            <w:fldChar w:fldCharType="begin"/>
          </w:r>
          <w:r>
            <w:instrText xml:space="preserve"> PAGEREF _Toc9334 </w:instrText>
          </w:r>
          <w:r>
            <w:fldChar w:fldCharType="separate"/>
          </w:r>
          <w:r>
            <w:t>1</w:t>
          </w:r>
          <w:r>
            <w:fldChar w:fldCharType="end"/>
          </w:r>
          <w:r>
            <w:fldChar w:fldCharType="end"/>
          </w:r>
        </w:p>
        <w:p>
          <w:pPr>
            <w:pStyle w:val="13"/>
            <w:tabs>
              <w:tab w:val="right" w:leader="dot" w:pos="8312"/>
            </w:tabs>
            <w:ind w:left="480"/>
          </w:pPr>
          <w:r>
            <w:fldChar w:fldCharType="begin"/>
          </w:r>
          <w:r>
            <w:instrText xml:space="preserve"> HYPERLINK \l "_Toc17915" </w:instrText>
          </w:r>
          <w:r>
            <w:fldChar w:fldCharType="separate"/>
          </w:r>
          <w:r>
            <w:rPr>
              <w:rFonts w:hint="eastAsia"/>
              <w:bCs/>
            </w:rPr>
            <w:t>3.2</w:t>
          </w:r>
          <w:r>
            <w:rPr>
              <w:bCs/>
            </w:rPr>
            <w:t xml:space="preserve"> </w:t>
          </w:r>
          <w:r>
            <w:rPr>
              <w:rFonts w:hint="eastAsia"/>
              <w:bCs/>
            </w:rPr>
            <w:t>年龄分布</w:t>
          </w:r>
          <w:r>
            <w:tab/>
          </w:r>
          <w:r>
            <w:fldChar w:fldCharType="begin"/>
          </w:r>
          <w:r>
            <w:instrText xml:space="preserve"> PAGEREF _Toc17915 </w:instrText>
          </w:r>
          <w:r>
            <w:fldChar w:fldCharType="separate"/>
          </w:r>
          <w:r>
            <w:t>1</w:t>
          </w:r>
          <w:r>
            <w:fldChar w:fldCharType="end"/>
          </w:r>
          <w:r>
            <w:fldChar w:fldCharType="end"/>
          </w:r>
        </w:p>
        <w:p>
          <w:pPr>
            <w:pStyle w:val="13"/>
            <w:tabs>
              <w:tab w:val="right" w:leader="dot" w:pos="8312"/>
            </w:tabs>
            <w:ind w:left="480"/>
          </w:pPr>
          <w:r>
            <w:fldChar w:fldCharType="begin"/>
          </w:r>
          <w:r>
            <w:instrText xml:space="preserve"> HYPERLINK \l "_Toc20241" </w:instrText>
          </w:r>
          <w:r>
            <w:fldChar w:fldCharType="separate"/>
          </w:r>
          <w:r>
            <w:rPr>
              <w:rFonts w:hint="eastAsia"/>
              <w:bCs/>
            </w:rPr>
            <w:t>3.3</w:t>
          </w:r>
          <w:r>
            <w:rPr>
              <w:bCs/>
            </w:rPr>
            <w:t xml:space="preserve"> </w:t>
          </w:r>
          <w:r>
            <w:rPr>
              <w:rFonts w:hint="eastAsia"/>
              <w:bCs/>
            </w:rPr>
            <w:t>从业时间</w:t>
          </w:r>
          <w:r>
            <w:tab/>
          </w:r>
          <w:r>
            <w:fldChar w:fldCharType="begin"/>
          </w:r>
          <w:r>
            <w:instrText xml:space="preserve"> PAGEREF _Toc20241 </w:instrText>
          </w:r>
          <w:r>
            <w:fldChar w:fldCharType="separate"/>
          </w:r>
          <w:r>
            <w:t>2</w:t>
          </w:r>
          <w:r>
            <w:fldChar w:fldCharType="end"/>
          </w:r>
          <w:r>
            <w:fldChar w:fldCharType="end"/>
          </w:r>
        </w:p>
        <w:p>
          <w:pPr>
            <w:pStyle w:val="13"/>
            <w:tabs>
              <w:tab w:val="right" w:leader="dot" w:pos="8312"/>
            </w:tabs>
            <w:ind w:left="480"/>
          </w:pPr>
          <w:r>
            <w:fldChar w:fldCharType="begin"/>
          </w:r>
          <w:r>
            <w:instrText xml:space="preserve"> HYPERLINK \l "_Toc9422" </w:instrText>
          </w:r>
          <w:r>
            <w:fldChar w:fldCharType="separate"/>
          </w:r>
          <w:r>
            <w:rPr>
              <w:rFonts w:hint="eastAsia"/>
              <w:bCs/>
            </w:rPr>
            <w:t>3.4</w:t>
          </w:r>
          <w:r>
            <w:rPr>
              <w:bCs/>
            </w:rPr>
            <w:t xml:space="preserve"> </w:t>
          </w:r>
          <w:r>
            <w:rPr>
              <w:rFonts w:hint="eastAsia"/>
              <w:bCs/>
            </w:rPr>
            <w:t>学历分布</w:t>
          </w:r>
          <w:r>
            <w:tab/>
          </w:r>
          <w:r>
            <w:fldChar w:fldCharType="begin"/>
          </w:r>
          <w:r>
            <w:instrText xml:space="preserve"> PAGEREF _Toc9422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"_Toc25289" </w:instrText>
          </w:r>
          <w:r>
            <w:fldChar w:fldCharType="separate"/>
          </w:r>
          <w:r>
            <w:rPr>
              <w:rFonts w:hint="eastAsia"/>
              <w:bCs/>
            </w:rPr>
            <w:t>3.5</w:t>
          </w:r>
          <w:r>
            <w:rPr>
              <w:bCs/>
            </w:rPr>
            <w:t xml:space="preserve"> </w:t>
          </w:r>
          <w:r>
            <w:rPr>
              <w:rFonts w:hint="eastAsia"/>
              <w:bCs/>
            </w:rPr>
            <w:t>工作单位</w:t>
          </w:r>
          <w:r>
            <w:tab/>
          </w:r>
          <w:r>
            <w:fldChar w:fldCharType="begin"/>
          </w:r>
          <w:r>
            <w:instrText xml:space="preserve"> PAGEREF _Toc25289 </w:instrText>
          </w:r>
          <w:r>
            <w:fldChar w:fldCharType="separate"/>
          </w:r>
          <w:r>
            <w:t>3</w:t>
          </w:r>
          <w:r>
            <w:fldChar w:fldCharType="end"/>
          </w:r>
          <w:r>
            <w:fldChar w:fldCharType="end"/>
          </w:r>
        </w:p>
        <w:p>
          <w:pPr>
            <w:pStyle w:val="11"/>
            <w:tabs>
              <w:tab w:val="right" w:leader="dot" w:pos="8312"/>
            </w:tabs>
          </w:pPr>
          <w:r>
            <w:fldChar w:fldCharType="begin"/>
          </w:r>
          <w:r>
            <w:instrText xml:space="preserve"> HYPERLINK \l "_Toc29870" </w:instrText>
          </w:r>
          <w:r>
            <w:fldChar w:fldCharType="separate"/>
          </w:r>
          <w:r>
            <w:rPr>
              <w:rFonts w:hint="eastAsia"/>
              <w:bCs/>
            </w:rPr>
            <w:t>四、网络安全共性问题</w:t>
          </w:r>
          <w:r>
            <w:tab/>
          </w:r>
          <w:r>
            <w:fldChar w:fldCharType="begin"/>
          </w:r>
          <w:r>
            <w:instrText xml:space="preserve"> PAGEREF _Toc29870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"_Toc32560" </w:instrText>
          </w:r>
          <w:r>
            <w:fldChar w:fldCharType="separate"/>
          </w:r>
          <w:r>
            <w:rPr>
              <w:rFonts w:hint="eastAsia"/>
              <w:bCs/>
            </w:rPr>
            <w:t>4.1安全感总体感受</w:t>
          </w:r>
          <w:r>
            <w:tab/>
          </w:r>
          <w:r>
            <w:fldChar w:fldCharType="begin"/>
          </w:r>
          <w:r>
            <w:instrText xml:space="preserve"> PAGEREF _Toc32560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"_Toc29706" </w:instrText>
          </w:r>
          <w:r>
            <w:fldChar w:fldCharType="separate"/>
          </w:r>
          <w:r>
            <w:rPr>
              <w:rFonts w:hint="eastAsia"/>
              <w:bCs/>
            </w:rPr>
            <w:t>4.2网络安全态势感受</w:t>
          </w:r>
          <w:r>
            <w:tab/>
          </w:r>
          <w:r>
            <w:fldChar w:fldCharType="begin"/>
          </w:r>
          <w:r>
            <w:instrText xml:space="preserve"> PAGEREF _Toc29706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"_Toc6544" </w:instrText>
          </w:r>
          <w:r>
            <w:fldChar w:fldCharType="separate"/>
          </w:r>
          <w:r>
            <w:rPr>
              <w:rFonts w:hint="eastAsia"/>
              <w:bCs/>
            </w:rPr>
            <w:t>4.3 打击网络黑灰产业</w:t>
          </w:r>
          <w:r>
            <w:tab/>
          </w:r>
          <w:r>
            <w:fldChar w:fldCharType="begin"/>
          </w:r>
          <w:r>
            <w:instrText xml:space="preserve"> PAGEREF _Toc6544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"_Toc6447" </w:instrText>
          </w:r>
          <w:r>
            <w:fldChar w:fldCharType="separate"/>
          </w:r>
          <w:r>
            <w:rPr>
              <w:rFonts w:hint="eastAsia"/>
              <w:bCs/>
            </w:rPr>
            <w:t>4.4网络安全的治理</w:t>
          </w:r>
          <w:r>
            <w:tab/>
          </w:r>
          <w:r>
            <w:fldChar w:fldCharType="begin"/>
          </w:r>
          <w:r>
            <w:instrText xml:space="preserve"> PAGEREF _Toc6447 </w:instrText>
          </w:r>
          <w:r>
            <w:fldChar w:fldCharType="separate"/>
          </w:r>
          <w:r>
            <w:t>13</w:t>
          </w:r>
          <w:r>
            <w:fldChar w:fldCharType="end"/>
          </w:r>
          <w:r>
            <w:fldChar w:fldCharType="end"/>
          </w:r>
        </w:p>
        <w:p>
          <w:pPr>
            <w:pStyle w:val="11"/>
            <w:tabs>
              <w:tab w:val="right" w:leader="dot" w:pos="8312"/>
            </w:tabs>
          </w:pPr>
          <w:r>
            <w:fldChar w:fldCharType="begin"/>
          </w:r>
          <w:r>
            <w:instrText xml:space="preserve"> HYPERLINK \l "_Toc5226" </w:instrText>
          </w:r>
          <w:r>
            <w:fldChar w:fldCharType="separate"/>
          </w:r>
          <w:r>
            <w:rPr>
              <w:rFonts w:hint="eastAsia"/>
            </w:rPr>
            <w:t>附件一：调查方法与数据样本情况</w:t>
          </w:r>
          <w:r>
            <w:tab/>
          </w:r>
          <w:r>
            <w:fldChar w:fldCharType="begin"/>
          </w:r>
          <w:r>
            <w:instrText xml:space="preserve"> PAGEREF _Toc5226 </w:instrText>
          </w:r>
          <w:r>
            <w:fldChar w:fldCharType="separate"/>
          </w:r>
          <w:r>
            <w:t>19</w:t>
          </w:r>
          <w:r>
            <w:fldChar w:fldCharType="end"/>
          </w:r>
          <w:r>
            <w:fldChar w:fldCharType="end"/>
          </w:r>
        </w:p>
        <w:p>
          <w:pPr>
            <w:pStyle w:val="11"/>
            <w:tabs>
              <w:tab w:val="right" w:leader="dot" w:pos="8312"/>
            </w:tabs>
          </w:pPr>
          <w:r>
            <w:fldChar w:fldCharType="begin"/>
          </w:r>
          <w:r>
            <w:instrText xml:space="preserve"> HYPERLINK \l "_Toc5220" </w:instrText>
          </w:r>
          <w:r>
            <w:fldChar w:fldCharType="separate"/>
          </w:r>
          <w:r>
            <w:rPr>
              <w:rFonts w:hint="eastAsia" w:eastAsia="宋体" w:cstheme="minorHAnsi"/>
              <w:szCs w:val="32"/>
            </w:rPr>
            <w:t>附件二：调查报告致谢词</w:t>
          </w:r>
          <w:r>
            <w:tab/>
          </w:r>
          <w:r>
            <w:fldChar w:fldCharType="begin"/>
          </w:r>
          <w:r>
            <w:instrText xml:space="preserve"> PAGEREF _Toc5220 </w:instrText>
          </w:r>
          <w:r>
            <w:fldChar w:fldCharType="separate"/>
          </w:r>
          <w:r>
            <w:t>24</w:t>
          </w:r>
          <w:r>
            <w:fldChar w:fldCharType="end"/>
          </w:r>
          <w:r>
            <w:fldChar w:fldCharType="end"/>
          </w:r>
        </w:p>
        <w:p>
          <w:pPr>
            <w:pStyle w:val="11"/>
            <w:tabs>
              <w:tab w:val="right" w:leader="dot" w:pos="8312"/>
            </w:tabs>
          </w:pPr>
          <w:r>
            <w:fldChar w:fldCharType="begin"/>
          </w:r>
          <w:r>
            <w:instrText xml:space="preserve"> HYPERLINK \l "_Toc24488" </w:instrText>
          </w:r>
          <w:r>
            <w:fldChar w:fldCharType="separate"/>
          </w:r>
          <w:r>
            <w:rPr>
              <w:rFonts w:hint="eastAsia" w:ascii="宋体" w:hAnsi="宋体" w:eastAsia="宋体"/>
              <w:szCs w:val="32"/>
            </w:rPr>
            <w:t>附件三：调查活动指导单位、联合发起单位和组委会名单</w:t>
          </w:r>
          <w:r>
            <w:tab/>
          </w:r>
          <w:r>
            <w:fldChar w:fldCharType="begin"/>
          </w:r>
          <w:r>
            <w:instrText xml:space="preserve"> PAGEREF _Toc24488 </w:instrText>
          </w:r>
          <w:r>
            <w:fldChar w:fldCharType="separate"/>
          </w:r>
          <w:r>
            <w:t>25</w:t>
          </w:r>
          <w:r>
            <w:fldChar w:fldCharType="end"/>
          </w:r>
          <w:r>
            <w:fldChar w:fldCharType="end"/>
          </w:r>
        </w:p>
        <w:p>
          <w:pPr>
            <w:pStyle w:val="11"/>
            <w:tabs>
              <w:tab w:val="right" w:leader="dot" w:pos="8312"/>
            </w:tabs>
          </w:pPr>
          <w:r>
            <w:fldChar w:fldCharType="begin"/>
          </w:r>
          <w:r>
            <w:instrText xml:space="preserve"> HYPERLINK \l "_Toc31671" </w:instrText>
          </w:r>
          <w:r>
            <w:fldChar w:fldCharType="separate"/>
          </w:r>
          <w:r>
            <w:rPr>
              <w:rFonts w:hint="eastAsia" w:ascii="宋体" w:hAnsi="宋体" w:eastAsia="宋体"/>
              <w:szCs w:val="32"/>
            </w:rPr>
            <w:t>附件四：调查活动发起单位及支持单位名单（排名不分先后）</w:t>
          </w:r>
          <w:r>
            <w:tab/>
          </w:r>
          <w:r>
            <w:fldChar w:fldCharType="begin"/>
          </w:r>
          <w:r>
            <w:instrText xml:space="preserve"> PAGEREF _Toc31671 </w:instrText>
          </w:r>
          <w:r>
            <w:fldChar w:fldCharType="separate"/>
          </w:r>
          <w:r>
            <w:t>27</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82" w:hanging="602"/>
        <w:jc w:val="center"/>
        <w:rPr>
          <w:rFonts w:ascii="黑体" w:hAnsi="黑体" w:eastAsia="黑体"/>
          <w:b/>
          <w:bCs/>
          <w:kern w:val="44"/>
          <w:sz w:val="30"/>
          <w:szCs w:val="30"/>
        </w:rPr>
      </w:pPr>
      <w:r>
        <w:rPr>
          <w:rFonts w:hint="eastAsia" w:ascii="黑体" w:hAnsi="黑体" w:eastAsia="黑体"/>
          <w:b/>
          <w:bCs/>
          <w:kern w:val="44"/>
          <w:sz w:val="30"/>
          <w:szCs w:val="30"/>
        </w:rPr>
        <w:t>图表目录</w:t>
      </w:r>
    </w:p>
    <w:p>
      <w:pPr>
        <w:pStyle w:val="12"/>
        <w:tabs>
          <w:tab w:val="right" w:leader="dot" w:pos="8312"/>
        </w:tabs>
        <w:ind w:left="1042" w:hanging="562"/>
      </w:pPr>
      <w:r>
        <w:rPr>
          <w:rFonts w:ascii="黑体" w:hAnsi="黑体" w:eastAsia="黑体"/>
          <w:b/>
          <w:bCs/>
          <w:kern w:val="44"/>
          <w:sz w:val="28"/>
          <w:szCs w:val="28"/>
        </w:rPr>
        <w:fldChar w:fldCharType="begin"/>
      </w:r>
      <w:r>
        <w:rPr>
          <w:rFonts w:ascii="黑体" w:hAnsi="黑体" w:eastAsia="黑体"/>
          <w:b/>
          <w:bCs/>
          <w:kern w:val="44"/>
          <w:sz w:val="28"/>
          <w:szCs w:val="28"/>
        </w:rPr>
        <w:instrText xml:space="preserve">TOC \h \c "图表"</w:instrText>
      </w:r>
      <w:r>
        <w:rPr>
          <w:rFonts w:ascii="黑体" w:hAnsi="黑体" w:eastAsia="黑体"/>
          <w:b/>
          <w:bCs/>
          <w:kern w:val="44"/>
          <w:sz w:val="28"/>
          <w:szCs w:val="28"/>
        </w:rPr>
        <w:fldChar w:fldCharType="separate"/>
      </w:r>
      <w:r>
        <w:fldChar w:fldCharType="begin"/>
      </w:r>
      <w:r>
        <w:instrText xml:space="preserve"> HYPERLINK \l "_Toc10542" </w:instrText>
      </w:r>
      <w:r>
        <w:fldChar w:fldCharType="separate"/>
      </w:r>
      <w:r>
        <w:rPr>
          <w:rFonts w:hint="eastAsia" w:asciiTheme="minorEastAsia" w:hAnsiTheme="minorEastAsia" w:cstheme="minorEastAsia"/>
          <w:szCs w:val="16"/>
        </w:rPr>
        <w:t xml:space="preserve">图表 </w:t>
      </w:r>
      <w:r>
        <w:t xml:space="preserve">1 </w:t>
      </w:r>
      <w:r>
        <w:rPr>
          <w:rFonts w:hint="eastAsia" w:asciiTheme="minorEastAsia" w:hAnsiTheme="minorEastAsia" w:cstheme="minorEastAsia"/>
          <w:szCs w:val="16"/>
        </w:rPr>
        <w:t>：从业人员网民性别分布图</w:t>
      </w:r>
      <w:r>
        <w:tab/>
      </w:r>
      <w:r>
        <w:fldChar w:fldCharType="begin"/>
      </w:r>
      <w:r>
        <w:instrText xml:space="preserve"> PAGEREF _Toc10542 </w:instrText>
      </w:r>
      <w:r>
        <w:fldChar w:fldCharType="separate"/>
      </w:r>
      <w:r>
        <w:t>1</w:t>
      </w:r>
      <w:r>
        <w:fldChar w:fldCharType="end"/>
      </w:r>
      <w:r>
        <w:fldChar w:fldCharType="end"/>
      </w:r>
    </w:p>
    <w:p>
      <w:pPr>
        <w:pStyle w:val="12"/>
        <w:tabs>
          <w:tab w:val="right" w:leader="dot" w:pos="8312"/>
        </w:tabs>
        <w:ind w:left="960" w:hanging="480"/>
      </w:pPr>
      <w:r>
        <w:fldChar w:fldCharType="begin"/>
      </w:r>
      <w:r>
        <w:instrText xml:space="preserve"> HYPERLINK \l "_Toc18200" </w:instrText>
      </w:r>
      <w:r>
        <w:fldChar w:fldCharType="separate"/>
      </w:r>
      <w:r>
        <w:rPr>
          <w:rFonts w:hint="eastAsia" w:asciiTheme="minorEastAsia" w:hAnsiTheme="minorEastAsia" w:cstheme="minorEastAsia"/>
          <w:szCs w:val="16"/>
        </w:rPr>
        <w:t xml:space="preserve">图表 </w:t>
      </w:r>
      <w:r>
        <w:t xml:space="preserve">2 </w:t>
      </w:r>
      <w:r>
        <w:rPr>
          <w:rFonts w:hint="eastAsia" w:asciiTheme="minorEastAsia" w:hAnsiTheme="minorEastAsia" w:cstheme="minorEastAsia"/>
          <w:szCs w:val="16"/>
        </w:rPr>
        <w:t>：从业人员网民年龄分布图</w:t>
      </w:r>
      <w:r>
        <w:tab/>
      </w:r>
      <w:r>
        <w:fldChar w:fldCharType="begin"/>
      </w:r>
      <w:r>
        <w:instrText xml:space="preserve"> PAGEREF _Toc18200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"_Toc31249" </w:instrText>
      </w:r>
      <w:r>
        <w:fldChar w:fldCharType="separate"/>
      </w:r>
      <w:r>
        <w:rPr>
          <w:rFonts w:hint="eastAsia"/>
          <w:szCs w:val="22"/>
        </w:rPr>
        <w:t xml:space="preserve">图表 </w:t>
      </w:r>
      <w:r>
        <w:t xml:space="preserve">3 </w:t>
      </w:r>
      <w:r>
        <w:rPr>
          <w:rFonts w:hint="eastAsia"/>
          <w:szCs w:val="22"/>
        </w:rPr>
        <w:t>：从业人员从业时间分布图</w:t>
      </w:r>
      <w:r>
        <w:tab/>
      </w:r>
      <w:r>
        <w:fldChar w:fldCharType="begin"/>
      </w:r>
      <w:r>
        <w:instrText xml:space="preserve"> PAGEREF _Toc31249 </w:instrText>
      </w:r>
      <w:r>
        <w:fldChar w:fldCharType="separate"/>
      </w:r>
      <w:r>
        <w:t>2</w:t>
      </w:r>
      <w:r>
        <w:fldChar w:fldCharType="end"/>
      </w:r>
      <w:r>
        <w:fldChar w:fldCharType="end"/>
      </w:r>
    </w:p>
    <w:p>
      <w:pPr>
        <w:pStyle w:val="12"/>
        <w:tabs>
          <w:tab w:val="right" w:leader="dot" w:pos="8312"/>
        </w:tabs>
        <w:ind w:left="960" w:hanging="480"/>
      </w:pPr>
      <w:r>
        <w:fldChar w:fldCharType="begin"/>
      </w:r>
      <w:r>
        <w:instrText xml:space="preserve"> HYPERLINK \l "_Toc29951" </w:instrText>
      </w:r>
      <w:r>
        <w:fldChar w:fldCharType="separate"/>
      </w:r>
      <w:r>
        <w:rPr>
          <w:rFonts w:hint="eastAsia"/>
          <w:szCs w:val="16"/>
        </w:rPr>
        <w:t xml:space="preserve">图表 </w:t>
      </w:r>
      <w:r>
        <w:t xml:space="preserve">4 </w:t>
      </w:r>
      <w:r>
        <w:rPr>
          <w:rFonts w:hint="eastAsia"/>
          <w:szCs w:val="16"/>
        </w:rPr>
        <w:t>：从业人员学历分布图</w:t>
      </w:r>
      <w:r>
        <w:tab/>
      </w:r>
      <w:r>
        <w:fldChar w:fldCharType="begin"/>
      </w:r>
      <w:r>
        <w:instrText xml:space="preserve"> PAGEREF _Toc29951 </w:instrText>
      </w:r>
      <w:r>
        <w:fldChar w:fldCharType="separate"/>
      </w:r>
      <w:r>
        <w:t>3</w:t>
      </w:r>
      <w:r>
        <w:fldChar w:fldCharType="end"/>
      </w:r>
      <w:r>
        <w:fldChar w:fldCharType="end"/>
      </w:r>
    </w:p>
    <w:p>
      <w:pPr>
        <w:pStyle w:val="12"/>
        <w:tabs>
          <w:tab w:val="right" w:leader="dot" w:pos="8312"/>
        </w:tabs>
        <w:ind w:left="960" w:hanging="480"/>
      </w:pPr>
      <w:r>
        <w:fldChar w:fldCharType="begin"/>
      </w:r>
      <w:r>
        <w:instrText xml:space="preserve"> HYPERLINK \l "_Toc14697" </w:instrText>
      </w:r>
      <w:r>
        <w:fldChar w:fldCharType="separate"/>
      </w:r>
      <w:r>
        <w:rPr>
          <w:rFonts w:hint="eastAsia"/>
          <w:szCs w:val="16"/>
        </w:rPr>
        <w:t xml:space="preserve">图表 </w:t>
      </w:r>
      <w:r>
        <w:t xml:space="preserve">5 </w:t>
      </w:r>
      <w:r>
        <w:rPr>
          <w:rFonts w:hint="eastAsia"/>
          <w:szCs w:val="16"/>
        </w:rPr>
        <w:t>：从业人员工作单位分布图</w:t>
      </w:r>
      <w:r>
        <w:tab/>
      </w:r>
      <w:r>
        <w:fldChar w:fldCharType="begin"/>
      </w:r>
      <w:r>
        <w:instrText xml:space="preserve"> PAGEREF _Toc14697 </w:instrText>
      </w:r>
      <w:r>
        <w:fldChar w:fldCharType="separate"/>
      </w:r>
      <w:r>
        <w:t>4</w:t>
      </w:r>
      <w:r>
        <w:fldChar w:fldCharType="end"/>
      </w:r>
      <w:r>
        <w:fldChar w:fldCharType="end"/>
      </w:r>
    </w:p>
    <w:p>
      <w:pPr>
        <w:pStyle w:val="12"/>
        <w:tabs>
          <w:tab w:val="right" w:leader="dot" w:pos="8312"/>
        </w:tabs>
        <w:ind w:left="960" w:hanging="480"/>
      </w:pPr>
      <w:r>
        <w:fldChar w:fldCharType="begin"/>
      </w:r>
      <w:r>
        <w:instrText xml:space="preserve"> HYPERLINK \l "_Toc26669" </w:instrText>
      </w:r>
      <w:r>
        <w:fldChar w:fldCharType="separate"/>
      </w:r>
      <w:r>
        <w:t xml:space="preserve">图表 6 </w:t>
      </w:r>
      <w:r>
        <w:rPr>
          <w:rFonts w:hint="eastAsia"/>
        </w:rPr>
        <w:t>：</w:t>
      </w:r>
      <w:r>
        <w:rPr>
          <w:rFonts w:hint="eastAsia"/>
          <w:szCs w:val="16"/>
        </w:rPr>
        <w:t>从业人员网民网络安全感评价</w:t>
      </w:r>
      <w:r>
        <w:tab/>
      </w:r>
      <w:r>
        <w:fldChar w:fldCharType="begin"/>
      </w:r>
      <w:r>
        <w:instrText xml:space="preserve"> PAGEREF _Toc26669 </w:instrText>
      </w:r>
      <w:r>
        <w:fldChar w:fldCharType="separate"/>
      </w:r>
      <w:r>
        <w:t>5</w:t>
      </w:r>
      <w:r>
        <w:fldChar w:fldCharType="end"/>
      </w:r>
      <w:r>
        <w:fldChar w:fldCharType="end"/>
      </w:r>
    </w:p>
    <w:p>
      <w:pPr>
        <w:pStyle w:val="12"/>
        <w:tabs>
          <w:tab w:val="right" w:leader="dot" w:pos="8312"/>
        </w:tabs>
        <w:ind w:left="960" w:hanging="480"/>
      </w:pPr>
      <w:r>
        <w:fldChar w:fldCharType="begin"/>
      </w:r>
      <w:r>
        <w:instrText xml:space="preserve"> HYPERLINK \l "_Toc29886" </w:instrText>
      </w:r>
      <w:r>
        <w:fldChar w:fldCharType="separate"/>
      </w:r>
      <w:r>
        <w:rPr>
          <w:rFonts w:hint="eastAsia"/>
          <w:szCs w:val="16"/>
        </w:rPr>
        <w:t xml:space="preserve">图表 </w:t>
      </w:r>
      <w:r>
        <w:t xml:space="preserve">7 </w:t>
      </w:r>
      <w:r>
        <w:rPr>
          <w:rFonts w:hint="eastAsia"/>
          <w:szCs w:val="16"/>
        </w:rPr>
        <w:t>：从业人员和公众网民安全感变化评价比较</w:t>
      </w:r>
      <w:r>
        <w:tab/>
      </w:r>
      <w:r>
        <w:fldChar w:fldCharType="begin"/>
      </w:r>
      <w:r>
        <w:instrText xml:space="preserve"> PAGEREF _Toc29886 </w:instrText>
      </w:r>
      <w:r>
        <w:fldChar w:fldCharType="separate"/>
      </w:r>
      <w:r>
        <w:t>5</w:t>
      </w:r>
      <w:r>
        <w:fldChar w:fldCharType="end"/>
      </w:r>
      <w:r>
        <w:fldChar w:fldCharType="end"/>
      </w:r>
    </w:p>
    <w:p>
      <w:pPr>
        <w:pStyle w:val="12"/>
        <w:tabs>
          <w:tab w:val="right" w:leader="dot" w:pos="8312"/>
        </w:tabs>
        <w:ind w:left="960" w:hanging="480"/>
      </w:pPr>
      <w:r>
        <w:fldChar w:fldCharType="begin"/>
      </w:r>
      <w:r>
        <w:instrText xml:space="preserve"> HYPERLINK \l "_Toc14211" </w:instrText>
      </w:r>
      <w:r>
        <w:fldChar w:fldCharType="separate"/>
      </w:r>
      <w:r>
        <w:rPr>
          <w:rFonts w:hint="eastAsia"/>
          <w:szCs w:val="16"/>
        </w:rPr>
        <w:t xml:space="preserve">图表 </w:t>
      </w:r>
      <w:r>
        <w:t xml:space="preserve">8 </w:t>
      </w:r>
      <w:r>
        <w:rPr>
          <w:rFonts w:hint="eastAsia"/>
          <w:szCs w:val="16"/>
        </w:rPr>
        <w:t>：从业人员网络安全感评价比较</w:t>
      </w:r>
      <w:r>
        <w:tab/>
      </w:r>
      <w:r>
        <w:fldChar w:fldCharType="begin"/>
      </w:r>
      <w:r>
        <w:instrText xml:space="preserve"> PAGEREF _Toc14211 </w:instrText>
      </w:r>
      <w:r>
        <w:fldChar w:fldCharType="separate"/>
      </w:r>
      <w:r>
        <w:t>6</w:t>
      </w:r>
      <w:r>
        <w:fldChar w:fldCharType="end"/>
      </w:r>
      <w:r>
        <w:fldChar w:fldCharType="end"/>
      </w:r>
    </w:p>
    <w:p>
      <w:pPr>
        <w:pStyle w:val="12"/>
        <w:tabs>
          <w:tab w:val="right" w:leader="dot" w:pos="8312"/>
        </w:tabs>
        <w:ind w:left="960" w:hanging="480"/>
      </w:pPr>
      <w:r>
        <w:fldChar w:fldCharType="begin"/>
      </w:r>
      <w:r>
        <w:instrText xml:space="preserve"> HYPERLINK \l "_Toc22" </w:instrText>
      </w:r>
      <w:r>
        <w:fldChar w:fldCharType="separate"/>
      </w:r>
      <w:r>
        <w:rPr>
          <w:rFonts w:hint="eastAsia" w:ascii="黑体" w:hAnsi="黑体"/>
          <w:szCs w:val="22"/>
        </w:rPr>
        <w:t xml:space="preserve">图表 </w:t>
      </w:r>
      <w:r>
        <w:t xml:space="preserve">9 </w:t>
      </w:r>
      <w:r>
        <w:rPr>
          <w:rFonts w:hint="eastAsia" w:ascii="黑体" w:hAnsi="黑体"/>
          <w:szCs w:val="22"/>
        </w:rPr>
        <w:t>：从业人员对安全感变化的评价</w:t>
      </w:r>
      <w:r>
        <w:tab/>
      </w:r>
      <w:r>
        <w:fldChar w:fldCharType="begin"/>
      </w:r>
      <w:r>
        <w:instrText xml:space="preserve"> PAGEREF _Toc22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"_Toc3685" </w:instrText>
      </w:r>
      <w:r>
        <w:fldChar w:fldCharType="separate"/>
      </w:r>
      <w:r>
        <w:rPr>
          <w:rFonts w:hint="eastAsia"/>
          <w:szCs w:val="16"/>
        </w:rPr>
        <w:t xml:space="preserve">图表 </w:t>
      </w:r>
      <w:r>
        <w:t xml:space="preserve">10 </w:t>
      </w:r>
      <w:r>
        <w:rPr>
          <w:rFonts w:hint="eastAsia"/>
          <w:szCs w:val="16"/>
        </w:rPr>
        <w:t>：从业人员安全感变化评价比较</w:t>
      </w:r>
      <w:r>
        <w:tab/>
      </w:r>
      <w:r>
        <w:fldChar w:fldCharType="begin"/>
      </w:r>
      <w:r>
        <w:instrText xml:space="preserve"> PAGEREF _Toc3685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"_Toc21005" </w:instrText>
      </w:r>
      <w:r>
        <w:fldChar w:fldCharType="separate"/>
      </w:r>
      <w:r>
        <w:rPr>
          <w:rFonts w:hint="eastAsia"/>
          <w:szCs w:val="16"/>
        </w:rPr>
        <w:t xml:space="preserve">图表 </w:t>
      </w:r>
      <w:r>
        <w:t xml:space="preserve">11 </w:t>
      </w:r>
      <w:r>
        <w:rPr>
          <w:rFonts w:hint="eastAsia"/>
          <w:szCs w:val="16"/>
        </w:rPr>
        <w:t>：在工作中最常面对的网络安全威胁遇到率图</w:t>
      </w:r>
      <w:r>
        <w:tab/>
      </w:r>
      <w:r>
        <w:fldChar w:fldCharType="begin"/>
      </w:r>
      <w:r>
        <w:instrText xml:space="preserve"> PAGEREF _Toc21005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"_Toc2411" </w:instrText>
      </w:r>
      <w:r>
        <w:fldChar w:fldCharType="separate"/>
      </w:r>
      <w:r>
        <w:rPr>
          <w:rFonts w:hint="eastAsia"/>
          <w:szCs w:val="16"/>
        </w:rPr>
        <w:t xml:space="preserve">图表 </w:t>
      </w:r>
      <w:r>
        <w:t xml:space="preserve">12 </w:t>
      </w:r>
      <w:r>
        <w:rPr>
          <w:rFonts w:hint="eastAsia"/>
          <w:szCs w:val="16"/>
        </w:rPr>
        <w:t>：网络安全事件出现的主要原因分布图</w:t>
      </w:r>
      <w:r>
        <w:tab/>
      </w:r>
      <w:r>
        <w:fldChar w:fldCharType="begin"/>
      </w:r>
      <w:r>
        <w:instrText xml:space="preserve"> PAGEREF _Toc2411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"_Toc26152" </w:instrText>
      </w:r>
      <w:r>
        <w:fldChar w:fldCharType="separate"/>
      </w:r>
      <w:r>
        <w:rPr>
          <w:rFonts w:hint="eastAsia"/>
          <w:szCs w:val="16"/>
        </w:rPr>
        <w:t xml:space="preserve">图表 </w:t>
      </w:r>
      <w:r>
        <w:t xml:space="preserve">13 </w:t>
      </w:r>
      <w:r>
        <w:rPr>
          <w:rFonts w:hint="eastAsia"/>
          <w:szCs w:val="16"/>
        </w:rPr>
        <w:t>：互联网黑灰产业活跃情况评价</w:t>
      </w:r>
      <w:r>
        <w:tab/>
      </w:r>
      <w:r>
        <w:fldChar w:fldCharType="begin"/>
      </w:r>
      <w:r>
        <w:instrText xml:space="preserve"> PAGEREF _Toc26152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"_Toc19289" </w:instrText>
      </w:r>
      <w:r>
        <w:fldChar w:fldCharType="separate"/>
      </w:r>
      <w:r>
        <w:rPr>
          <w:rFonts w:hint="eastAsia"/>
          <w:szCs w:val="16"/>
        </w:rPr>
        <w:t xml:space="preserve">图表 </w:t>
      </w:r>
      <w:r>
        <w:t xml:space="preserve">14 </w:t>
      </w:r>
      <w:r>
        <w:rPr>
          <w:rFonts w:hint="eastAsia"/>
          <w:szCs w:val="16"/>
        </w:rPr>
        <w:t>：常见网络黑灰产业犯罪手法</w:t>
      </w:r>
      <w:r>
        <w:tab/>
      </w:r>
      <w:r>
        <w:fldChar w:fldCharType="begin"/>
      </w:r>
      <w:r>
        <w:instrText xml:space="preserve"> PAGEREF _Toc19289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"_Toc6503" </w:instrText>
      </w:r>
      <w:r>
        <w:fldChar w:fldCharType="separate"/>
      </w:r>
      <w:r>
        <w:rPr>
          <w:rFonts w:hint="eastAsia"/>
          <w:szCs w:val="16"/>
        </w:rPr>
        <w:t xml:space="preserve">图表 </w:t>
      </w:r>
      <w:r>
        <w:t xml:space="preserve">15 </w:t>
      </w:r>
      <w:r>
        <w:rPr>
          <w:rFonts w:hint="eastAsia"/>
          <w:szCs w:val="16"/>
        </w:rPr>
        <w:t>：刷流量网络水军现象屡禁不绝的原因</w:t>
      </w:r>
      <w:r>
        <w:tab/>
      </w:r>
      <w:r>
        <w:fldChar w:fldCharType="begin"/>
      </w:r>
      <w:r>
        <w:instrText xml:space="preserve"> PAGEREF _Toc6503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"_Toc24146" </w:instrText>
      </w:r>
      <w:r>
        <w:fldChar w:fldCharType="separate"/>
      </w:r>
      <w:r>
        <w:rPr>
          <w:rFonts w:hint="eastAsia"/>
          <w:szCs w:val="16"/>
        </w:rPr>
        <w:t xml:space="preserve">图表 </w:t>
      </w:r>
      <w:r>
        <w:t xml:space="preserve">16 </w:t>
      </w:r>
      <w:r>
        <w:rPr>
          <w:rFonts w:hint="eastAsia"/>
          <w:szCs w:val="16"/>
        </w:rPr>
        <w:t>：整治网络黑灰产业关键手段评价</w:t>
      </w:r>
      <w:r>
        <w:tab/>
      </w:r>
      <w:r>
        <w:fldChar w:fldCharType="begin"/>
      </w:r>
      <w:r>
        <w:instrText xml:space="preserve"> PAGEREF _Toc24146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"_Toc13593" </w:instrText>
      </w:r>
      <w:r>
        <w:fldChar w:fldCharType="separate"/>
      </w:r>
      <w:r>
        <w:rPr>
          <w:rFonts w:hint="eastAsia"/>
          <w:szCs w:val="16"/>
        </w:rPr>
        <w:t xml:space="preserve">图表 </w:t>
      </w:r>
      <w:r>
        <w:t xml:space="preserve">17 </w:t>
      </w:r>
      <w:r>
        <w:rPr>
          <w:rFonts w:hint="eastAsia"/>
          <w:szCs w:val="16"/>
        </w:rPr>
        <w:t>：网络安全最突出或亟需治理的问题</w:t>
      </w:r>
      <w:r>
        <w:tab/>
      </w:r>
      <w:r>
        <w:fldChar w:fldCharType="begin"/>
      </w:r>
      <w:r>
        <w:instrText xml:space="preserve"> PAGEREF _Toc13593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"_Toc13640" </w:instrText>
      </w:r>
      <w:r>
        <w:fldChar w:fldCharType="separate"/>
      </w:r>
      <w:r>
        <w:rPr>
          <w:rFonts w:hint="eastAsia"/>
          <w:szCs w:val="16"/>
        </w:rPr>
        <w:t xml:space="preserve">图表 </w:t>
      </w:r>
      <w:r>
        <w:t xml:space="preserve">18 </w:t>
      </w:r>
      <w:r>
        <w:rPr>
          <w:rFonts w:hint="eastAsia"/>
          <w:szCs w:val="16"/>
        </w:rPr>
        <w:t>：维护网络安全最需要采取的措施</w:t>
      </w:r>
      <w:r>
        <w:tab/>
      </w:r>
      <w:r>
        <w:fldChar w:fldCharType="begin"/>
      </w:r>
      <w:r>
        <w:instrText xml:space="preserve"> PAGEREF _Toc13640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"_Toc7156" </w:instrText>
      </w:r>
      <w:r>
        <w:fldChar w:fldCharType="separate"/>
      </w:r>
      <w:r>
        <w:rPr>
          <w:rFonts w:hint="eastAsia"/>
          <w:szCs w:val="16"/>
        </w:rPr>
        <w:t xml:space="preserve">图表 </w:t>
      </w:r>
      <w:r>
        <w:t xml:space="preserve">19 </w:t>
      </w:r>
      <w:r>
        <w:rPr>
          <w:rFonts w:hint="eastAsia"/>
          <w:szCs w:val="16"/>
        </w:rPr>
        <w:t>：亟待加强的网络安全立法内容</w:t>
      </w:r>
      <w:r>
        <w:tab/>
      </w:r>
      <w:r>
        <w:fldChar w:fldCharType="begin"/>
      </w:r>
      <w:r>
        <w:instrText xml:space="preserve"> PAGEREF _Toc7156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"_Toc25015" </w:instrText>
      </w:r>
      <w:r>
        <w:fldChar w:fldCharType="separate"/>
      </w:r>
      <w:r>
        <w:rPr>
          <w:rFonts w:hint="eastAsia"/>
          <w:szCs w:val="16"/>
        </w:rPr>
        <w:t xml:space="preserve">图表 </w:t>
      </w:r>
      <w:r>
        <w:t xml:space="preserve">20 </w:t>
      </w:r>
      <w:r>
        <w:rPr>
          <w:rFonts w:hint="eastAsia"/>
          <w:szCs w:val="16"/>
        </w:rPr>
        <w:t>：网络安全相关管理部门的认知度</w:t>
      </w:r>
      <w:r>
        <w:tab/>
      </w:r>
      <w:r>
        <w:fldChar w:fldCharType="begin"/>
      </w:r>
      <w:r>
        <w:instrText xml:space="preserve"> PAGEREF _Toc25015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"_Toc19813" </w:instrText>
      </w:r>
      <w:r>
        <w:fldChar w:fldCharType="separate"/>
      </w:r>
      <w:r>
        <w:rPr>
          <w:rFonts w:hint="eastAsia"/>
          <w:szCs w:val="16"/>
        </w:rPr>
        <w:t xml:space="preserve">图表 </w:t>
      </w:r>
      <w:r>
        <w:t xml:space="preserve">21 </w:t>
      </w:r>
      <w:r>
        <w:rPr>
          <w:rFonts w:hint="eastAsia"/>
          <w:szCs w:val="16"/>
        </w:rPr>
        <w:t>：政府部门对网络安全的监管力度评价</w:t>
      </w:r>
      <w:r>
        <w:tab/>
      </w:r>
      <w:r>
        <w:fldChar w:fldCharType="begin"/>
      </w:r>
      <w:r>
        <w:instrText xml:space="preserve"> PAGEREF _Toc19813 </w:instrText>
      </w:r>
      <w:r>
        <w:fldChar w:fldCharType="separate"/>
      </w:r>
      <w:r>
        <w:t>18</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Cs/>
          <w:kern w:val="44"/>
          <w:szCs w:val="28"/>
        </w:rPr>
        <w:fldChar w:fldCharType="end"/>
      </w:r>
    </w:p>
    <w:p>
      <w:pPr>
        <w:pStyle w:val="2"/>
        <w:rPr>
          <w:b w:val="0"/>
          <w:bCs w:val="0"/>
        </w:rPr>
      </w:pPr>
      <w:r>
        <w:rPr>
          <w:b w:val="0"/>
          <w:bCs w:val="0"/>
        </w:rPr>
        <w:br w:type="page"/>
      </w:r>
      <w:bookmarkStart w:id="28" w:name="_Toc20286"/>
      <w:bookmarkStart w:id="29" w:name="_Toc19207398"/>
      <w:bookmarkStart w:id="30" w:name="_Toc1940"/>
      <w:bookmarkStart w:id="31" w:name="_Toc29272"/>
      <w:r>
        <w:rPr>
          <w:rFonts w:hint="eastAsia"/>
        </w:rPr>
        <w:t>一、前言</w:t>
      </w:r>
      <w:bookmarkEnd w:id="28"/>
      <w:bookmarkEnd w:id="29"/>
      <w:bookmarkEnd w:id="30"/>
      <w:bookmarkEnd w:id="31"/>
    </w:p>
    <w:p>
      <w:r>
        <w:rPr>
          <w:rFonts w:hint="eastAsia"/>
        </w:rPr>
        <w:t>随着网络信息</w:t>
      </w:r>
      <w:r>
        <w:t>社会发展</w:t>
      </w:r>
      <w:r>
        <w:rPr>
          <w:rFonts w:hint="eastAsia"/>
        </w:rPr>
        <w:t>，</w:t>
      </w:r>
      <w:r>
        <w:t>互联网已与人民群众日常生活密不可分。</w:t>
      </w:r>
      <w:r>
        <w:rPr>
          <w:rFonts w:hint="eastAsia"/>
        </w:rPr>
        <w:t>网络</w:t>
      </w:r>
      <w:r>
        <w:t>在提供各种生活便利和沟通便捷的同时，</w:t>
      </w:r>
      <w:r>
        <w:rPr>
          <w:rFonts w:hint="eastAsia"/>
        </w:rPr>
        <w:t>网络威胁也在增长：</w:t>
      </w:r>
      <w:r>
        <w:t>网络攻击、病毒传播、垃圾邮件等</w:t>
      </w:r>
      <w:r>
        <w:rPr>
          <w:rFonts w:hint="eastAsia"/>
        </w:rPr>
        <w:t>屡见不鲜</w:t>
      </w:r>
      <w:r>
        <w:t>；利用网络进行诈骗、盗窃、敲诈勒 索、窃密等案件逐年上升，严重影响网络的正常秩序，损害网民权益；网上色情、暴力等不良和有害 信息的传播，也正在严重危害青少年的身心健康。如何有效开展网络安全社会治理、保障广大人民群 众上网用网安全，日益成为社会广泛关注的重大问题。 开展网络安全</w:t>
      </w:r>
      <w:r>
        <w:rPr>
          <w:rFonts w:hint="eastAsia"/>
        </w:rPr>
        <w:t>感</w:t>
      </w:r>
      <w:r>
        <w:t>满意度调查，旨在进一步贯彻习近平总书记</w:t>
      </w:r>
      <w:r>
        <w:rPr>
          <w:rFonts w:hint="eastAsia"/>
        </w:rPr>
        <w:t>有关“网络安全为人民，网络安全靠人民”和</w:t>
      </w:r>
      <w:r>
        <w:t>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w:t>
      </w:r>
      <w:r>
        <w:rPr>
          <w:rFonts w:hint="eastAsia"/>
        </w:rPr>
        <w:t>治理</w:t>
      </w:r>
      <w:r>
        <w:t>的成效和水平。</w:t>
      </w:r>
    </w:p>
    <w:p>
      <w:r>
        <w:rPr>
          <w:rFonts w:hint="eastAsia"/>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r>
        <w:rPr>
          <w:rFonts w:hint="eastAsia"/>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r>
        <w:rPr>
          <w:rFonts w:hint="eastAsia"/>
        </w:rPr>
        <w:t>20</w:t>
      </w:r>
      <w:r>
        <w:t>20</w:t>
      </w:r>
      <w:r>
        <w:rPr>
          <w:rFonts w:hint="eastAsia"/>
        </w:rPr>
        <w:t>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2020年6月，以</w:t>
      </w:r>
      <w:bookmarkStart w:id="32" w:name="_Hlk50904262"/>
      <w:r>
        <w:rPr>
          <w:rFonts w:hint="eastAsia"/>
        </w:rPr>
        <w:t>“网络安全为人民，网络安全靠人民”</w:t>
      </w:r>
      <w:bookmarkEnd w:id="32"/>
      <w:r>
        <w:rPr>
          <w:rFonts w:hint="eastAsia"/>
        </w:rPr>
        <w:t xml:space="preserve">为活动主题的2020网民网络安全感满意度调查活动正式启动，7月22日上午9时活动正式对外采集数据，全国各大网络平台同步开通线上采集通道，至7月31日24时结束。 </w:t>
      </w:r>
    </w:p>
    <w:p>
      <w:r>
        <w:rPr>
          <w:rFonts w:hint="eastAsia"/>
        </w:rPr>
        <w:t> 本次调查活动问卷收回总量为150.3</w:t>
      </w:r>
      <w:r>
        <w:t>168</w:t>
      </w:r>
      <w:r>
        <w:rPr>
          <w:rFonts w:hint="eastAsia"/>
        </w:rPr>
        <w:t>万份，其中，公众网民版</w:t>
      </w:r>
      <w:bookmarkStart w:id="33" w:name="_Hlk48137665"/>
      <w:r>
        <w:t>124.325</w:t>
      </w:r>
      <w:bookmarkEnd w:id="33"/>
      <w:r>
        <w:t>1</w:t>
      </w:r>
      <w:r>
        <w:rPr>
          <w:rFonts w:hint="eastAsia"/>
        </w:rPr>
        <w:t>万份，网络从业人员版25.</w:t>
      </w:r>
      <w:r>
        <w:t>9912</w:t>
      </w:r>
      <w:r>
        <w:rPr>
          <w:rFonts w:hint="eastAsia"/>
        </w:rPr>
        <w:t>万份。经过数据清洗后，有效样本数据总数为149.0304万份，其中，公众网民版</w:t>
      </w:r>
      <w:r>
        <w:t>123.1455</w:t>
      </w:r>
      <w:r>
        <w:rPr>
          <w:rFonts w:hint="eastAsia"/>
        </w:rPr>
        <w:t>万份，网络从业人员版25.884</w:t>
      </w:r>
      <w:r>
        <w:t>9</w:t>
      </w:r>
      <w:r>
        <w:rPr>
          <w:rFonts w:hint="eastAsia"/>
        </w:rPr>
        <w:t>万份。另外，调查活动还收集了网民对我国网络安全建设提出的意见和建议共</w:t>
      </w:r>
      <w:r>
        <w:t>16.4347</w:t>
      </w:r>
      <w:r>
        <w:rPr>
          <w:rFonts w:hint="eastAsia"/>
        </w:rPr>
        <w:t>万条。</w:t>
      </w:r>
    </w:p>
    <w:p>
      <w:r>
        <w:rPr>
          <w:rFonts w:hint="eastAsia"/>
        </w:rPr>
        <w:t>本报告是基于2020年度网民网络安全感满意度调查活动收集回来的有效问卷数据，经过整理、统计、分析后编写形成的。报告力求全面、客观地反映网民的网络安全感和满意度的感受，为有关各方提供参考。</w:t>
      </w:r>
    </w:p>
    <w:p>
      <w:r>
        <w:rPr>
          <w:rFonts w:hint="eastAsia"/>
        </w:rPr>
        <w:t>2020网民网络安全感满意度调查全国从业人员版数据统计报告，是针对网络行业从业人员进行调查收回的有效问卷数据统计结果。网络行业从业人员指网络行业的工作人员，其工作单位或工作岗位和网络有关，包括互联网企业、网络安全产品与服务的提供者、网络安全协会、政府主管部门、企事业单位、网络安全的学校和科研机构、一般互联网用户等。网络行业从业人员本身对互联网的状态比较了解，是网络安全治理中主要的参与者、服务提供者和服务利用者。他们的意见体现了网络安全治理中各类主要利益群体和行业内专业人士的观点。</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报告第一章为概述；第二章为主要发现；第三章为基本情况，包括受调查从业人员的基本信息；第四章为安全感和共性问题分析，主要为从业人员版调查问卷数据详细统计，包括从业人员整体网络安全感分析；第五章是专题分析，主要是A到D专题问卷内容的详细统计结果。</w:t>
      </w:r>
    </w:p>
    <w:p>
      <w:pPr>
        <w:widowControl/>
        <w:adjustRightInd/>
        <w:snapToGrid/>
        <w:spacing w:line="240" w:lineRule="auto"/>
        <w:ind w:firstLine="0" w:firstLineChars="0"/>
        <w:jc w:val="left"/>
        <w:rPr>
          <w:rFonts w:ascii="黑体" w:hAnsi="黑体" w:eastAsia="黑体"/>
          <w:kern w:val="44"/>
          <w:sz w:val="28"/>
          <w:szCs w:val="28"/>
        </w:rPr>
      </w:pPr>
      <w:r>
        <w:br w:type="page"/>
      </w:r>
    </w:p>
    <w:p>
      <w:pPr>
        <w:pStyle w:val="2"/>
      </w:pPr>
      <w:bookmarkStart w:id="34" w:name="_Toc19207399"/>
      <w:bookmarkStart w:id="35" w:name="_Toc10525"/>
      <w:bookmarkStart w:id="36" w:name="_Toc22995"/>
      <w:bookmarkStart w:id="37" w:name="_Toc19739"/>
      <w:bookmarkStart w:id="38" w:name="_Toc19207407"/>
      <w:r>
        <w:rPr>
          <w:rFonts w:hint="eastAsia"/>
        </w:rPr>
        <w:t>二、</w:t>
      </w:r>
      <w:bookmarkEnd w:id="34"/>
      <w:r>
        <w:rPr>
          <w:rFonts w:hint="eastAsia"/>
        </w:rPr>
        <w:t>主要发现</w:t>
      </w:r>
      <w:bookmarkEnd w:id="35"/>
      <w:bookmarkEnd w:id="36"/>
      <w:bookmarkEnd w:id="37"/>
    </w:p>
    <w:p>
      <w:bookmarkStart w:id="39" w:name="_Toc19207400"/>
      <w:bookmarkStart w:id="40" w:name="_Toc11227"/>
      <w:bookmarkStart w:id="41" w:name="_Toc26581"/>
      <w:r>
        <w:rPr>
          <w:rFonts w:hint="eastAsia"/>
        </w:rPr>
        <w:t>本次活动共收回江西省从业人员版网民网络安全感满意度调查问卷有812份，数据清洗消除无效数据后，有801份问卷数据纳入统计，数据样本有效性为98.65%。</w:t>
      </w:r>
    </w:p>
    <w:p>
      <w:r>
        <w:rPr>
          <w:rFonts w:hint="eastAsia"/>
        </w:rPr>
        <w:t>经过对数据的整理、统计、分析后，有以下主要发现：</w:t>
      </w:r>
    </w:p>
    <w:p>
      <w:pPr>
        <w:pStyle w:val="3"/>
        <w:spacing w:before="156" w:after="156"/>
        <w:rPr>
          <w:bCs/>
        </w:rPr>
      </w:pPr>
      <w:bookmarkStart w:id="42" w:name="_Toc28778"/>
      <w:r>
        <w:rPr>
          <w:rFonts w:hint="eastAsia"/>
          <w:bCs/>
        </w:rPr>
        <w:t>2.1从业人员网络安全感</w:t>
      </w:r>
      <w:bookmarkEnd w:id="39"/>
      <w:r>
        <w:rPr>
          <w:rFonts w:hint="eastAsia"/>
          <w:bCs/>
        </w:rPr>
        <w:t>相对较高</w:t>
      </w:r>
      <w:bookmarkEnd w:id="40"/>
      <w:bookmarkEnd w:id="41"/>
      <w:bookmarkEnd w:id="42"/>
    </w:p>
    <w:p>
      <w:r>
        <w:rPr>
          <w:rFonts w:hint="eastAsia"/>
        </w:rPr>
        <w:t>（1）从业人员网络安全感相对较高，认为网络安全的江西省从业人员比江西省公众网民要低11.53个百分点。从业人员安全感评价与公众网民相比，正面评价增加，负面评价减少。持正面评价的从业人员达34.71%，评价一般的有42.07%。</w:t>
      </w:r>
    </w:p>
    <w:p>
      <w:pPr>
        <w:pStyle w:val="3"/>
        <w:spacing w:before="156" w:after="156"/>
        <w:rPr>
          <w:bCs/>
        </w:rPr>
      </w:pPr>
      <w:bookmarkStart w:id="43" w:name="_Toc19207403"/>
      <w:bookmarkStart w:id="44" w:name="_Toc16635"/>
      <w:bookmarkStart w:id="45" w:name="_Toc14846"/>
      <w:bookmarkStart w:id="46" w:name="_Toc27249"/>
      <w:r>
        <w:rPr>
          <w:rFonts w:hint="eastAsia"/>
          <w:bCs/>
        </w:rPr>
        <w:t>2.2</w:t>
      </w:r>
      <w:bookmarkEnd w:id="43"/>
      <w:r>
        <w:rPr>
          <w:rFonts w:hint="eastAsia"/>
          <w:bCs/>
        </w:rPr>
        <w:t>网络安全态势严峻，管理和风险评估机制受到关注</w:t>
      </w:r>
      <w:bookmarkEnd w:id="44"/>
      <w:bookmarkEnd w:id="45"/>
      <w:bookmarkEnd w:id="46"/>
    </w:p>
    <w:p>
      <w:pPr>
        <w:rPr>
          <w:b/>
        </w:rPr>
      </w:pPr>
      <w:bookmarkStart w:id="47" w:name="_Toc19207404"/>
      <w:r>
        <w:rPr>
          <w:rFonts w:hint="eastAsia"/>
        </w:rPr>
        <w:t>（2）网络安全问题和网络安全事件呈较高发生率。51.56%的从业人员在工作中最常遇到的网络安全问题是恶意网络资源（恶意IP地址、恶意域名、恶意URL、网络钓鱼等），安全事件（主机受控、数据泄露、网页篡改、网络监听等）遇到率为51.06%，安全隐患（硬件漏洞、代码漏洞、业务逻辑漏洞、弱口令、后门等）遇到率为50.19%，恶意程序（勒索病毒、挖矿勒索、供应链木马、蠕虫病毒、僵尸网络等）遇到率为46.19%。</w:t>
      </w:r>
    </w:p>
    <w:p>
      <w:r>
        <w:rPr>
          <w:rFonts w:hint="eastAsia"/>
        </w:rPr>
        <w:t>（3）信息技术产业供应链安全威胁受到关注，54.09%从业人员认为供应链安全威胁比较高和非常高。</w:t>
      </w:r>
    </w:p>
    <w:p>
      <w:pPr>
        <w:pStyle w:val="3"/>
        <w:spacing w:before="156" w:after="156"/>
      </w:pPr>
      <w:bookmarkStart w:id="48" w:name="_Toc48913645"/>
      <w:bookmarkStart w:id="49" w:name="_Toc11338"/>
      <w:r>
        <w:rPr>
          <w:rFonts w:hint="eastAsia"/>
        </w:rPr>
        <w:t>2.3信息泄露、网络诈骗等问题仍比较突出，打击网络黑灰产业成为关注热点</w:t>
      </w:r>
      <w:bookmarkEnd w:id="48"/>
      <w:bookmarkEnd w:id="49"/>
    </w:p>
    <w:p>
      <w:r>
        <w:rPr>
          <w:rFonts w:hint="eastAsia"/>
        </w:rPr>
        <w:t>（4）信息泄露、网络诈骗和网络骚扰是网络安全最突出的问题。77.53%的从业人员认为网络安全最突出或亟需治理的问题是信息泄露。网络诈骗、网络骚扰分别列2、3位，关注度达62.80%和62.17%。网络谣言与诽谤、网络色情、网络赌博、网络支付陷阱与恶意吸费关注度也比较高，分别为49.56%、45.19%、45.07%、39.58%。数据显示信息保护、打击诈骗、网络欺凌、打击涉黄涉赌等是网民主要的痛点。</w:t>
      </w:r>
    </w:p>
    <w:p>
      <w:r>
        <w:rPr>
          <w:rFonts w:hint="eastAsia"/>
        </w:rPr>
        <w:t>（5）打击网络黑灰产业要杜绝利益驱动。针对“刷流量”、“网络水军”的现象屡禁不绝的原因，65.92%的从业人员认为利益驱动，监管力度不够、相关法律欠缺、平台管理漏洞则位列2、3、4位，认同度分别位64.54%、60.80%、58.05%。</w:t>
      </w:r>
    </w:p>
    <w:p>
      <w:pPr>
        <w:pStyle w:val="3"/>
        <w:spacing w:before="120" w:beforeLines="50" w:after="120" w:afterLines="50"/>
      </w:pPr>
      <w:bookmarkStart w:id="50" w:name="_Toc8706"/>
      <w:bookmarkStart w:id="51" w:name="_Toc48913646"/>
      <w:r>
        <w:rPr>
          <w:rFonts w:hint="eastAsia"/>
        </w:rPr>
        <w:t>2.4网络安全依法治理不断完善，加强法制建设成为主要诉求</w:t>
      </w:r>
      <w:bookmarkEnd w:id="50"/>
      <w:bookmarkEnd w:id="51"/>
    </w:p>
    <w:p>
      <w:r>
        <w:rPr>
          <w:rFonts w:hint="eastAsia"/>
        </w:rPr>
        <w:t>（6）网络安全法治观念得到普及，加强网络安全法制建设和加强监管力度成为共识。对于维护网络安全的最需要采取的措施方面：74.16%从业人员认为要加强网络安全法制建设，60.42%从业人员认为要强化网络安全监管，59.55%从业人员认为要贯彻落实网络安全等级保护制度。</w:t>
      </w:r>
    </w:p>
    <w:p>
      <w:r>
        <w:rPr>
          <w:rFonts w:hint="eastAsia"/>
        </w:rPr>
        <w:t>（7）加强网络安全立法的主要关注点在：个人信息保护（关注度68.79%）、网络平台责任（关注度62.05%）、网络安全等级保护（关注度45.94%）。网络违法犯罪防治、未成年人上网保护、网络安全各领域监管、关键信息基础设施保护等方面的立法关注度也比较高（关注度40%以上）。</w:t>
      </w:r>
    </w:p>
    <w:p>
      <w:pPr>
        <w:pStyle w:val="3"/>
        <w:spacing w:before="120" w:beforeLines="50" w:after="120" w:afterLines="50"/>
      </w:pPr>
      <w:bookmarkStart w:id="52" w:name="_Toc28126"/>
      <w:bookmarkStart w:id="53" w:name="_Toc48913647"/>
      <w:r>
        <w:rPr>
          <w:rFonts w:hint="eastAsia"/>
        </w:rPr>
        <w:t>2.5网络安全监管取得成效，网络安全等级保护制度进一步落实</w:t>
      </w:r>
      <w:bookmarkEnd w:id="52"/>
      <w:bookmarkEnd w:id="53"/>
    </w:p>
    <w:p>
      <w:r>
        <w:rPr>
          <w:rFonts w:hint="eastAsia"/>
        </w:rPr>
        <w:t>（8）政府有关部门加强网络安全监管取得成效，监管力度评价得到肯定。从业人员认为监管力度非常强占12.36%，认为比较强占31.96%，合起来占44.32%，接近一半。认为一般有35.96%。</w:t>
      </w:r>
    </w:p>
    <w:p>
      <w:r>
        <w:rPr>
          <w:rFonts w:hint="eastAsia"/>
        </w:rPr>
        <w:t>（9）网络安全等级保护制度扎实推进，行业指导推进得到落实。行业主管部门对等级保护工作的推进落实方面，78.13%的从业人员所在行业出台了具体的指导意见，其中41.80%从业人员所在行业有明确细致的指导意见，36.33%有较为简单指导意见。</w:t>
      </w:r>
    </w:p>
    <w:p>
      <w:r>
        <w:rPr>
          <w:rFonts w:hint="eastAsia"/>
        </w:rPr>
        <w:t>（10）对网络安全等级保护制度2.0国家标准了解方面，37.57%从业人员表示了解，39.63%从业人员表示知道等级保护，但不了解等级保护2.0， 完全不了解的占22.79%。绝大部分从业人员（77.2%）对等保制度有所了解，但等级保护2.0新标准还需要进一步加强宣贯。</w:t>
      </w:r>
    </w:p>
    <w:p>
      <w:pPr>
        <w:pStyle w:val="3"/>
        <w:spacing w:before="120" w:beforeLines="50" w:after="120" w:afterLines="50"/>
      </w:pPr>
      <w:bookmarkStart w:id="54" w:name="_Toc48913648"/>
      <w:bookmarkStart w:id="55" w:name="_Toc18289"/>
      <w:r>
        <w:rPr>
          <w:rFonts w:hint="eastAsia"/>
        </w:rPr>
        <w:t>2.6企业网络安全合规遵循有所加强，网络安全管理有所改善</w:t>
      </w:r>
      <w:bookmarkEnd w:id="54"/>
      <w:bookmarkEnd w:id="55"/>
    </w:p>
    <w:p>
      <w:r>
        <w:rPr>
          <w:rFonts w:hint="eastAsia"/>
        </w:rPr>
        <w:t>（11）从业人员对企业网络安全合规要求认识有所提高，认为企业合规应遵循的法规认知度前5位分别为：1《中华人民共和国网络安全法》（88.29%）、2《计算机信息系统安全保护条例》（75.39%）、3《信息安全等级保护管理办法》（73.25%）、4《互联网信息服务管理办法》（65.24%）、5《国家安全法》（54.68%）。</w:t>
      </w:r>
    </w:p>
    <w:p>
      <w:r>
        <w:rPr>
          <w:rFonts w:hint="eastAsia"/>
        </w:rPr>
        <w:t>（12）企业网络安全管理措施得到进一步落实。69.20%从业人员所在单位设置了网络安全专门机构，74.97%从业人员所在单位落实了网络安全责任人，58.74%从业人员所在单位落实了网络安全经费预算。61.82%从业人员认为单位网络安全应急预案完善或较为完善。72.10%从业人员表示所在单位有定期进行网络安全检查。总体上网络安全管理有所改善，但还有一定的提升空间。</w:t>
      </w:r>
    </w:p>
    <w:p>
      <w:r>
        <w:rPr>
          <w:rFonts w:hint="eastAsia"/>
        </w:rPr>
        <w:t>（13）从业人员接受过网络安全培训最多前三位是本单位组织的培训（覆盖率60.78%）、政府部门组织的培训（覆盖率34.78%）、专业机构培训（覆盖率30.48%）。但也有19.93%的从业人员从未接受过培训。</w:t>
      </w:r>
    </w:p>
    <w:p>
      <w:r>
        <w:rPr>
          <w:rFonts w:hint="eastAsia"/>
        </w:rPr>
        <w:t>（14）从业人员对所在单位安全管理状况满意度评价方面，71.57%从业人员表示满意或非常满意，其中45.28%从业人员表示满意，26.29%从业人员表示非常满意。</w:t>
      </w:r>
    </w:p>
    <w:bookmarkEnd w:id="47"/>
    <w:p>
      <w:pPr>
        <w:pStyle w:val="3"/>
        <w:spacing w:before="156" w:after="156"/>
      </w:pPr>
      <w:bookmarkStart w:id="56" w:name="_Toc19207405"/>
      <w:bookmarkStart w:id="57" w:name="_Toc48913649"/>
      <w:bookmarkStart w:id="58" w:name="_Toc30388"/>
      <w:r>
        <w:rPr>
          <w:rFonts w:hint="eastAsia"/>
        </w:rPr>
        <w:t>2.7</w:t>
      </w:r>
      <w:bookmarkEnd w:id="56"/>
      <w:r>
        <w:rPr>
          <w:rFonts w:hint="eastAsia"/>
        </w:rPr>
        <w:t>新技术应用发展迅速，安全风险受到关注</w:t>
      </w:r>
      <w:bookmarkEnd w:id="57"/>
      <w:bookmarkEnd w:id="58"/>
    </w:p>
    <w:p>
      <w:r>
        <w:rPr>
          <w:rFonts w:hint="eastAsia"/>
        </w:rPr>
        <w:t>（15）从业人员对新技术的网络安全问题是比较关注。从关注度排列前5位为：5G移动网络（73.64%）、大数据（62.30%）、人工智能（54.50%）、物联网（41.92%）、云计算（41.20%）。</w:t>
      </w:r>
    </w:p>
    <w:p>
      <w:r>
        <w:rPr>
          <w:rFonts w:hint="eastAsia"/>
        </w:rPr>
        <w:t>（16）5G网络应用安全成为行业内关注热点，从业人员对5G技术的顾虑主要有：5G比4G服务收费更高（68.91%），5G网络覆盖面小（59.74%），担心5G技术不成熟出现网络错误或卡顿（33.85%），担心5G网络不安全（25.72%）。</w:t>
      </w:r>
    </w:p>
    <w:p>
      <w:r>
        <w:rPr>
          <w:rFonts w:hint="eastAsia"/>
        </w:rPr>
        <w:t>（17）人工智能的技术成熟度、安全隐私保护问题等是从业人员关注的重点。从业人员认为目前人工智能应用发展面临的阻力主要有：1技术有待成熟（75.46%）、2安全隐私问题有待解决（67.24%）、3应用普及难度大（57.08%）等。</w:t>
      </w:r>
    </w:p>
    <w:p>
      <w:pPr>
        <w:pStyle w:val="3"/>
        <w:spacing w:before="156" w:after="156"/>
      </w:pPr>
      <w:bookmarkStart w:id="59" w:name="_Toc6819"/>
      <w:bookmarkStart w:id="60" w:name="_Toc19207406"/>
      <w:bookmarkStart w:id="61" w:name="_Toc48913650"/>
      <w:r>
        <w:rPr>
          <w:rFonts w:hint="eastAsia"/>
        </w:rPr>
        <w:t>2.8网络安全行业进入快速发展阶段，技术研发和人才培养是关键</w:t>
      </w:r>
      <w:bookmarkEnd w:id="59"/>
      <w:bookmarkEnd w:id="60"/>
      <w:bookmarkEnd w:id="61"/>
    </w:p>
    <w:p>
      <w:r>
        <w:rPr>
          <w:rFonts w:hint="eastAsia"/>
        </w:rPr>
        <w:t>（18）网络安全产品服务需求大幅上涨，对网络产品和服务划分等级得到行业认可。行业内人员信心提高，88.65%的从业人员认为当前网络安全行业市场需求上涨。大部分（58.29%）从业人员对网络安全行业提供网络安全保障水平是比较认可的。</w:t>
      </w:r>
    </w:p>
    <w:p>
      <w:r>
        <w:rPr>
          <w:rFonts w:hint="eastAsia"/>
        </w:rPr>
        <w:t>（19）网络安全科研管理有待改善，需要进一步加大研发经费和人才培养的投入。大部分（72.16%）从业人员所在单位网络安全科研经费一般或较少。网络安全领域科研工作在课题规划（关注度61.81%）、经费管理（关注度58.29%）、项目管理（关注度55.84%）等方面需要改善。科研成果转化方面在成果保护（关注度68.50%）、政策支持（关注度60.62%）、管理机制（关注度58.26%）等方面需要改善。在网络安全专业人才评价和队伍建设方面从业人员主要关注职称不完善、晋升渠道不畅（59%）、实训环境不足（55.82%）、继续教育流于形式（50.69%）等问题。</w:t>
      </w:r>
    </w:p>
    <w:p/>
    <w:p>
      <w:pPr>
        <w:ind w:firstLine="0" w:firstLineChars="0"/>
      </w:pPr>
    </w:p>
    <w:p/>
    <w:p/>
    <w:p/>
    <w:p/>
    <w:p/>
    <w:p/>
    <w:p/>
    <w:p/>
    <w:p/>
    <w:p/>
    <w:p/>
    <w:p/>
    <w:p/>
    <w:p/>
    <w:p/>
    <w:p/>
    <w:p>
      <w:pPr>
        <w:sectPr>
          <w:headerReference r:id="rId10" w:type="default"/>
          <w:footerReference r:id="rId11" w:type="default"/>
          <w:pgSz w:w="11906" w:h="16838"/>
          <w:pgMar w:top="1440" w:right="1797" w:bottom="1440" w:left="1797" w:header="709" w:footer="709" w:gutter="0"/>
          <w:pgNumType w:start="1"/>
          <w:cols w:space="708" w:num="1"/>
          <w:docGrid w:linePitch="360" w:charSpace="0"/>
        </w:sectPr>
      </w:pPr>
    </w:p>
    <w:p>
      <w:pPr>
        <w:ind w:firstLine="0" w:firstLineChars="0"/>
      </w:pPr>
    </w:p>
    <w:p>
      <w:pPr>
        <w:pStyle w:val="2"/>
        <w:numPr>
          <w:ilvl w:val="0"/>
          <w:numId w:val="1"/>
        </w:numPr>
        <w:rPr>
          <w:b w:val="0"/>
          <w:bCs w:val="0"/>
        </w:rPr>
      </w:pPr>
      <w:bookmarkStart w:id="62" w:name="_Toc13754"/>
      <w:bookmarkStart w:id="63" w:name="_Toc19024"/>
      <w:bookmarkStart w:id="64" w:name="_Toc10401"/>
      <w:r>
        <w:rPr>
          <w:rFonts w:hint="eastAsia"/>
        </w:rPr>
        <w:t>网民基本情况</w:t>
      </w:r>
      <w:bookmarkEnd w:id="38"/>
      <w:bookmarkEnd w:id="62"/>
      <w:bookmarkEnd w:id="63"/>
      <w:bookmarkEnd w:id="64"/>
    </w:p>
    <w:p>
      <w:bookmarkStart w:id="65" w:name="_Toc21218"/>
      <w:bookmarkStart w:id="66" w:name="_Toc1856"/>
      <w:r>
        <w:rPr>
          <w:rFonts w:hint="eastAsia"/>
        </w:rPr>
        <w:t>本次问卷调查共收回江西省从业人员版网络安全感满意度调查问卷812份，经数据清洗消除无效数据后，共有801份问卷数据纳入统计。</w:t>
      </w:r>
    </w:p>
    <w:p>
      <w:pPr>
        <w:rPr>
          <w:rFonts w:cstheme="minorHAnsi"/>
          <w:color w:val="FF0000"/>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江西报告，数据统计范围涵盖江西。</w:t>
      </w:r>
    </w:p>
    <w:p/>
    <w:p>
      <w:pPr>
        <w:pStyle w:val="3"/>
        <w:rPr>
          <w:bCs/>
        </w:rPr>
      </w:pPr>
      <w:bookmarkStart w:id="67" w:name="_Toc9334"/>
      <w:r>
        <w:rPr>
          <w:rFonts w:hint="eastAsia"/>
          <w:bCs/>
        </w:rPr>
        <w:t>3.1</w:t>
      </w:r>
      <w:r>
        <w:rPr>
          <w:bCs/>
        </w:rPr>
        <w:t xml:space="preserve"> </w:t>
      </w:r>
      <w:r>
        <w:rPr>
          <w:rFonts w:hint="eastAsia"/>
          <w:bCs/>
        </w:rPr>
        <w:t>性别分布</w:t>
      </w:r>
      <w:bookmarkEnd w:id="65"/>
      <w:bookmarkEnd w:id="66"/>
      <w:bookmarkEnd w:id="67"/>
    </w:p>
    <w:p>
      <w:r>
        <w:rPr>
          <w:rFonts w:hint="eastAsia"/>
        </w:rPr>
        <w:t>参与本次调查的网民中男性占65.04%，女性网民占34.96%。从数据上看从业人员中男性的比例稍高。</w:t>
      </w:r>
    </w:p>
    <w:p>
      <w:pPr>
        <w:ind w:firstLine="0" w:firstLineChars="0"/>
        <w:jc w:val="center"/>
      </w:pPr>
      <w:r>
        <w:drawing>
          <wp:inline distT="0" distB="0" distL="114300" distR="114300">
            <wp:extent cx="3839210" cy="2239010"/>
            <wp:effectExtent l="4445" t="4445" r="23495" b="2349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6"/>
        <w:ind w:firstLine="440"/>
        <w:jc w:val="center"/>
        <w:rPr>
          <w:rFonts w:asciiTheme="minorEastAsia" w:hAnsiTheme="minorEastAsia" w:eastAsiaTheme="minorEastAsia" w:cstheme="minorEastAsia"/>
          <w:sz w:val="22"/>
          <w:szCs w:val="16"/>
        </w:rPr>
      </w:pPr>
      <w:bookmarkStart w:id="68" w:name="_Toc19203680"/>
      <w:bookmarkStart w:id="69" w:name="_Toc19305585"/>
      <w:r>
        <w:rPr>
          <w:rFonts w:hint="eastAsia" w:asciiTheme="minorEastAsia" w:hAnsiTheme="minorEastAsia" w:eastAsiaTheme="minorEastAsia" w:cstheme="minorEastAsia"/>
          <w:sz w:val="22"/>
          <w:szCs w:val="16"/>
        </w:rPr>
        <w:t xml:space="preserve">图表 </w:t>
      </w:r>
      <w:r>
        <w:rPr>
          <w:rFonts w:hint="eastAsia" w:asciiTheme="minorEastAsia" w:hAnsiTheme="minorEastAsia" w:eastAsiaTheme="minorEastAsia" w:cstheme="minorEastAsia"/>
          <w:sz w:val="22"/>
          <w:szCs w:val="16"/>
        </w:rPr>
        <w:fldChar w:fldCharType="begin"/>
      </w:r>
      <w:r>
        <w:rPr>
          <w:rFonts w:hint="eastAsia" w:asciiTheme="minorEastAsia" w:hAnsiTheme="minorEastAsia" w:eastAsiaTheme="minorEastAsia" w:cstheme="minorEastAsia"/>
          <w:sz w:val="22"/>
          <w:szCs w:val="16"/>
        </w:rPr>
        <w:instrText xml:space="preserve"> SEQ 图表 \* ARABIC </w:instrText>
      </w:r>
      <w:r>
        <w:rPr>
          <w:rFonts w:hint="eastAsia" w:asciiTheme="minorEastAsia" w:hAnsiTheme="minorEastAsia" w:eastAsiaTheme="minorEastAsia" w:cstheme="minorEastAsia"/>
          <w:sz w:val="22"/>
          <w:szCs w:val="16"/>
        </w:rPr>
        <w:fldChar w:fldCharType="separate"/>
      </w:r>
      <w:r>
        <w:rPr>
          <w:rFonts w:hint="eastAsia" w:asciiTheme="minorEastAsia" w:hAnsiTheme="minorEastAsia" w:eastAsiaTheme="minorEastAsia" w:cstheme="minorEastAsia"/>
          <w:sz w:val="22"/>
          <w:szCs w:val="16"/>
        </w:rPr>
        <w:t>1</w:t>
      </w:r>
      <w:r>
        <w:rPr>
          <w:rFonts w:hint="eastAsia" w:asciiTheme="minorEastAsia" w:hAnsiTheme="minorEastAsia" w:eastAsiaTheme="minorEastAsia" w:cstheme="minorEastAsia"/>
          <w:sz w:val="22"/>
          <w:szCs w:val="16"/>
        </w:rPr>
        <w:fldChar w:fldCharType="end"/>
      </w:r>
      <w:bookmarkStart w:id="70" w:name="_Toc10542"/>
      <w:bookmarkStart w:id="71" w:name="_Toc5574"/>
      <w:bookmarkStart w:id="72" w:name="_Toc6443"/>
      <w:r>
        <w:rPr>
          <w:rFonts w:hint="eastAsia" w:asciiTheme="minorEastAsia" w:hAnsiTheme="minorEastAsia" w:eastAsiaTheme="minorEastAsia" w:cstheme="minorEastAsia"/>
          <w:sz w:val="22"/>
          <w:szCs w:val="16"/>
        </w:rPr>
        <w:t>：从业人员网民性别</w:t>
      </w:r>
      <w:bookmarkEnd w:id="68"/>
      <w:bookmarkEnd w:id="69"/>
      <w:r>
        <w:rPr>
          <w:rFonts w:hint="eastAsia" w:asciiTheme="minorEastAsia" w:hAnsiTheme="minorEastAsia" w:eastAsiaTheme="minorEastAsia" w:cstheme="minorEastAsia"/>
          <w:sz w:val="22"/>
          <w:szCs w:val="16"/>
        </w:rPr>
        <w:t>分布图</w:t>
      </w:r>
      <w:bookmarkEnd w:id="70"/>
      <w:bookmarkEnd w:id="71"/>
      <w:bookmarkEnd w:id="72"/>
    </w:p>
    <w:p>
      <w:pPr>
        <w:pStyle w:val="6"/>
        <w:jc w:val="center"/>
        <w:rPr>
          <w:rFonts w:ascii="黑体" w:hAnsi="黑体"/>
          <w:sz w:val="24"/>
        </w:rPr>
      </w:pPr>
    </w:p>
    <w:p>
      <w:r>
        <w:rPr>
          <w:rFonts w:hint="eastAsia"/>
        </w:rPr>
        <w:t>和全国数据相比，江西省男网民的占比有所上升，全国男网民占56.56%，江西省上升了8.4个百分点，达65.04%；全国女性占43.44%，江西省下降了8.48个百分点，至34.96%。江西省从业人员性别分布比全国差异较大。</w:t>
      </w:r>
    </w:p>
    <w:p/>
    <w:p>
      <w:pPr>
        <w:pStyle w:val="3"/>
        <w:rPr>
          <w:bCs/>
        </w:rPr>
      </w:pPr>
      <w:bookmarkStart w:id="73" w:name="_Toc17915"/>
      <w:bookmarkStart w:id="74" w:name="_Toc16533"/>
      <w:bookmarkStart w:id="75" w:name="_Toc3062"/>
      <w:r>
        <w:rPr>
          <w:rFonts w:hint="eastAsia"/>
          <w:bCs/>
        </w:rPr>
        <w:t>3.2</w:t>
      </w:r>
      <w:r>
        <w:rPr>
          <w:bCs/>
        </w:rPr>
        <w:t xml:space="preserve"> </w:t>
      </w:r>
      <w:r>
        <w:rPr>
          <w:rFonts w:hint="eastAsia"/>
          <w:bCs/>
        </w:rPr>
        <w:t>年龄分布</w:t>
      </w:r>
      <w:bookmarkEnd w:id="73"/>
      <w:bookmarkEnd w:id="74"/>
      <w:bookmarkEnd w:id="75"/>
    </w:p>
    <w:p>
      <w:r>
        <w:rPr>
          <w:rFonts w:hint="eastAsia"/>
        </w:rPr>
        <w:t>网民中年轻人占大多数，其中，12岁到18岁占14.23%，19岁到24岁占38.83%，25岁到30岁占21.72%，31岁到45岁占17.10%，即30岁以下年轻人占约75.9%。45岁以下占93%，从业人员年龄以中青年为主，其中30岁以下年轻人占超过四分之三。从图可以看出，江西省和全国从业人员年龄分布对比差异较大。</w:t>
      </w:r>
    </w:p>
    <w:p>
      <w:pPr>
        <w:ind w:firstLine="0" w:firstLineChars="0"/>
      </w:pPr>
      <w:r>
        <w:drawing>
          <wp:inline distT="0" distB="0" distL="114300" distR="114300">
            <wp:extent cx="5278120" cy="2815590"/>
            <wp:effectExtent l="4445" t="4445" r="13335" b="1841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6"/>
        <w:ind w:firstLine="440"/>
        <w:jc w:val="center"/>
        <w:rPr>
          <w:rFonts w:asciiTheme="minorEastAsia" w:hAnsiTheme="minorEastAsia" w:eastAsiaTheme="minorEastAsia" w:cstheme="minorEastAsia"/>
          <w:sz w:val="22"/>
          <w:szCs w:val="16"/>
        </w:rPr>
      </w:pPr>
      <w:bookmarkStart w:id="76" w:name="_Toc19305586"/>
      <w:bookmarkStart w:id="77" w:name="_Toc19203681"/>
      <w:r>
        <w:rPr>
          <w:rFonts w:hint="eastAsia" w:asciiTheme="minorEastAsia" w:hAnsiTheme="minorEastAsia" w:eastAsiaTheme="minorEastAsia" w:cstheme="minorEastAsia"/>
          <w:sz w:val="22"/>
          <w:szCs w:val="16"/>
        </w:rPr>
        <w:t xml:space="preserve">图表 </w:t>
      </w:r>
      <w:r>
        <w:rPr>
          <w:rFonts w:hint="eastAsia" w:asciiTheme="minorEastAsia" w:hAnsiTheme="minorEastAsia" w:eastAsiaTheme="minorEastAsia" w:cstheme="minorEastAsia"/>
          <w:sz w:val="22"/>
          <w:szCs w:val="16"/>
        </w:rPr>
        <w:fldChar w:fldCharType="begin"/>
      </w:r>
      <w:r>
        <w:rPr>
          <w:rFonts w:hint="eastAsia" w:asciiTheme="minorEastAsia" w:hAnsiTheme="minorEastAsia" w:eastAsiaTheme="minorEastAsia" w:cstheme="minorEastAsia"/>
          <w:sz w:val="22"/>
          <w:szCs w:val="16"/>
        </w:rPr>
        <w:instrText xml:space="preserve"> SEQ 图表 \* ARABIC </w:instrText>
      </w:r>
      <w:r>
        <w:rPr>
          <w:rFonts w:hint="eastAsia" w:asciiTheme="minorEastAsia" w:hAnsiTheme="minorEastAsia" w:eastAsiaTheme="minorEastAsia" w:cstheme="minorEastAsia"/>
          <w:sz w:val="22"/>
          <w:szCs w:val="16"/>
        </w:rPr>
        <w:fldChar w:fldCharType="separate"/>
      </w:r>
      <w:r>
        <w:rPr>
          <w:rFonts w:hint="eastAsia" w:asciiTheme="minorEastAsia" w:hAnsiTheme="minorEastAsia" w:eastAsiaTheme="minorEastAsia" w:cstheme="minorEastAsia"/>
          <w:sz w:val="22"/>
          <w:szCs w:val="16"/>
        </w:rPr>
        <w:t>2</w:t>
      </w:r>
      <w:r>
        <w:rPr>
          <w:rFonts w:hint="eastAsia" w:asciiTheme="minorEastAsia" w:hAnsiTheme="minorEastAsia" w:eastAsiaTheme="minorEastAsia" w:cstheme="minorEastAsia"/>
          <w:sz w:val="22"/>
          <w:szCs w:val="16"/>
        </w:rPr>
        <w:fldChar w:fldCharType="end"/>
      </w:r>
      <w:bookmarkStart w:id="78" w:name="_Toc24167"/>
      <w:bookmarkStart w:id="79" w:name="_Toc4938"/>
      <w:bookmarkStart w:id="80" w:name="_Toc18200"/>
      <w:r>
        <w:rPr>
          <w:rFonts w:hint="eastAsia" w:asciiTheme="minorEastAsia" w:hAnsiTheme="minorEastAsia" w:eastAsiaTheme="minorEastAsia" w:cstheme="minorEastAsia"/>
          <w:sz w:val="22"/>
          <w:szCs w:val="16"/>
        </w:rPr>
        <w:t>：从业人员网民年龄分布图</w:t>
      </w:r>
      <w:bookmarkEnd w:id="76"/>
      <w:bookmarkEnd w:id="77"/>
      <w:bookmarkEnd w:id="78"/>
      <w:bookmarkEnd w:id="79"/>
      <w:bookmarkEnd w:id="80"/>
    </w:p>
    <w:p/>
    <w:p>
      <w:pPr>
        <w:pStyle w:val="3"/>
        <w:rPr>
          <w:bCs/>
        </w:rPr>
      </w:pPr>
      <w:bookmarkStart w:id="81" w:name="_Toc20241"/>
      <w:bookmarkStart w:id="82" w:name="_Toc14504"/>
      <w:bookmarkStart w:id="83" w:name="_Toc24696"/>
      <w:r>
        <w:rPr>
          <w:rFonts w:hint="eastAsia"/>
          <w:bCs/>
        </w:rPr>
        <w:t>3.3</w:t>
      </w:r>
      <w:r>
        <w:rPr>
          <w:bCs/>
        </w:rPr>
        <w:t xml:space="preserve"> </w:t>
      </w:r>
      <w:r>
        <w:rPr>
          <w:rFonts w:hint="eastAsia"/>
          <w:bCs/>
        </w:rPr>
        <w:t>从业时间</w:t>
      </w:r>
      <w:bookmarkEnd w:id="81"/>
      <w:bookmarkEnd w:id="82"/>
      <w:bookmarkEnd w:id="83"/>
    </w:p>
    <w:p>
      <w:r>
        <w:rPr>
          <w:rFonts w:hint="eastAsia"/>
        </w:rPr>
        <w:t xml:space="preserve">   大部分从业人员从业时间较短，有52.43%的从业人员从业时间在1-3年，比全国数据高了8.07个百分点。从业时间4-6年的占24.97%。</w:t>
      </w:r>
    </w:p>
    <w:p>
      <w:pPr>
        <w:ind w:firstLine="0" w:firstLineChars="0"/>
        <w:jc w:val="center"/>
      </w:pPr>
      <w:r>
        <w:drawing>
          <wp:inline distT="0" distB="0" distL="114300" distR="114300">
            <wp:extent cx="4841240" cy="3114675"/>
            <wp:effectExtent l="4445" t="4445" r="12065" b="5080"/>
            <wp:docPr id="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6"/>
        <w:ind w:firstLine="440"/>
        <w:jc w:val="center"/>
        <w:rPr>
          <w:sz w:val="22"/>
          <w:szCs w:val="22"/>
        </w:rPr>
      </w:pPr>
      <w:bookmarkStart w:id="84" w:name="_Toc19203682"/>
      <w:bookmarkStart w:id="85" w:name="_Toc19305587"/>
      <w:r>
        <w:rPr>
          <w:rFonts w:hint="eastAsia"/>
          <w:sz w:val="22"/>
          <w:szCs w:val="22"/>
        </w:rPr>
        <w:t xml:space="preserve">图表 </w:t>
      </w:r>
      <w:r>
        <w:rPr>
          <w:sz w:val="22"/>
          <w:szCs w:val="22"/>
        </w:rPr>
        <w:fldChar w:fldCharType="begin"/>
      </w:r>
      <w:r>
        <w:rPr>
          <w:sz w:val="22"/>
          <w:szCs w:val="22"/>
        </w:rPr>
        <w:instrText xml:space="preserve"> </w:instrText>
      </w:r>
      <w:r>
        <w:rPr>
          <w:rFonts w:hint="eastAsia"/>
          <w:sz w:val="22"/>
          <w:szCs w:val="22"/>
        </w:rPr>
        <w:instrText xml:space="preserve">SEQ 图表 \* ARABIC</w:instrText>
      </w:r>
      <w:r>
        <w:rPr>
          <w:sz w:val="22"/>
          <w:szCs w:val="22"/>
        </w:rPr>
        <w:instrText xml:space="preserve"> </w:instrText>
      </w:r>
      <w:r>
        <w:rPr>
          <w:sz w:val="22"/>
          <w:szCs w:val="22"/>
        </w:rPr>
        <w:fldChar w:fldCharType="separate"/>
      </w:r>
      <w:r>
        <w:rPr>
          <w:rFonts w:hint="eastAsia"/>
          <w:sz w:val="22"/>
          <w:szCs w:val="22"/>
        </w:rPr>
        <w:t>3</w:t>
      </w:r>
      <w:r>
        <w:rPr>
          <w:sz w:val="22"/>
          <w:szCs w:val="22"/>
        </w:rPr>
        <w:fldChar w:fldCharType="end"/>
      </w:r>
      <w:bookmarkStart w:id="86" w:name="_Toc23390"/>
      <w:bookmarkStart w:id="87" w:name="_Toc5413"/>
      <w:bookmarkStart w:id="88" w:name="_Toc31249"/>
      <w:r>
        <w:rPr>
          <w:rFonts w:hint="eastAsia"/>
          <w:sz w:val="22"/>
          <w:szCs w:val="22"/>
        </w:rPr>
        <w:t>：从业人员从业时间分布图</w:t>
      </w:r>
      <w:bookmarkEnd w:id="84"/>
      <w:bookmarkEnd w:id="85"/>
      <w:bookmarkEnd w:id="86"/>
      <w:bookmarkEnd w:id="87"/>
      <w:bookmarkEnd w:id="88"/>
    </w:p>
    <w:p>
      <w:pPr>
        <w:pStyle w:val="3"/>
        <w:ind w:firstLine="480"/>
        <w:rPr>
          <w:b w:val="0"/>
        </w:rPr>
      </w:pPr>
    </w:p>
    <w:p/>
    <w:p/>
    <w:p/>
    <w:p>
      <w:pPr>
        <w:pStyle w:val="3"/>
        <w:rPr>
          <w:b w:val="0"/>
        </w:rPr>
      </w:pPr>
      <w:bookmarkStart w:id="89" w:name="_Toc15217"/>
      <w:bookmarkStart w:id="90" w:name="_Toc9422"/>
      <w:bookmarkStart w:id="91" w:name="_Toc6878"/>
      <w:r>
        <w:rPr>
          <w:rFonts w:hint="eastAsia"/>
          <w:bCs/>
        </w:rPr>
        <w:t>3.4</w:t>
      </w:r>
      <w:r>
        <w:rPr>
          <w:bCs/>
        </w:rPr>
        <w:t xml:space="preserve"> </w:t>
      </w:r>
      <w:r>
        <w:rPr>
          <w:rFonts w:hint="eastAsia"/>
          <w:bCs/>
        </w:rPr>
        <w:t>学历分布</w:t>
      </w:r>
      <w:bookmarkEnd w:id="89"/>
      <w:bookmarkEnd w:id="90"/>
      <w:bookmarkEnd w:id="91"/>
    </w:p>
    <w:p>
      <w:r>
        <w:rPr>
          <w:rFonts w:hint="eastAsia"/>
        </w:rPr>
        <w:t>参与调查的从业人员中大学本科学历人数最多，占39.83%，其次是大专学历，占26.34%。大专以上学历占72.03%，在普通网民群体中受教育的程度相对不低，但在IT领域里学历水平不算高，大专等中低学历从业人员占比较高。</w:t>
      </w:r>
    </w:p>
    <w:p>
      <w:pPr>
        <w:ind w:firstLine="0" w:firstLineChars="0"/>
        <w:jc w:val="center"/>
      </w:pPr>
      <w:r>
        <w:drawing>
          <wp:inline distT="0" distB="0" distL="114300" distR="114300">
            <wp:extent cx="4572000" cy="2743200"/>
            <wp:effectExtent l="4445" t="4445" r="14605" b="14605"/>
            <wp:docPr id="1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ind w:firstLine="440"/>
        <w:jc w:val="center"/>
        <w:rPr>
          <w:sz w:val="22"/>
          <w:szCs w:val="16"/>
        </w:rPr>
      </w:pPr>
      <w:bookmarkStart w:id="92" w:name="_Toc19203683"/>
      <w:bookmarkStart w:id="93" w:name="_Toc19305588"/>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w:t>
      </w:r>
      <w:r>
        <w:rPr>
          <w:sz w:val="22"/>
          <w:szCs w:val="16"/>
        </w:rPr>
        <w:fldChar w:fldCharType="end"/>
      </w:r>
      <w:bookmarkStart w:id="94" w:name="_Toc359"/>
      <w:bookmarkStart w:id="95" w:name="_Toc29951"/>
      <w:bookmarkStart w:id="96" w:name="_Toc14931"/>
      <w:r>
        <w:rPr>
          <w:rFonts w:hint="eastAsia"/>
          <w:sz w:val="22"/>
          <w:szCs w:val="16"/>
        </w:rPr>
        <w:t>：从业人员学历分布图</w:t>
      </w:r>
      <w:bookmarkEnd w:id="92"/>
      <w:bookmarkEnd w:id="93"/>
      <w:bookmarkEnd w:id="94"/>
      <w:bookmarkEnd w:id="95"/>
      <w:bookmarkEnd w:id="96"/>
    </w:p>
    <w:p>
      <w:pPr>
        <w:pStyle w:val="6"/>
        <w:jc w:val="center"/>
        <w:rPr>
          <w:sz w:val="24"/>
        </w:rPr>
      </w:pPr>
    </w:p>
    <w:p>
      <w:pPr>
        <w:pStyle w:val="3"/>
        <w:rPr>
          <w:bCs/>
        </w:rPr>
      </w:pPr>
      <w:bookmarkStart w:id="97" w:name="_Toc24503"/>
      <w:bookmarkStart w:id="98" w:name="_Toc25289"/>
      <w:bookmarkStart w:id="99" w:name="_Toc11037"/>
      <w:r>
        <w:rPr>
          <w:rFonts w:hint="eastAsia"/>
          <w:bCs/>
        </w:rPr>
        <w:t>3.5</w:t>
      </w:r>
      <w:r>
        <w:rPr>
          <w:bCs/>
        </w:rPr>
        <w:t xml:space="preserve"> </w:t>
      </w:r>
      <w:r>
        <w:rPr>
          <w:rFonts w:hint="eastAsia"/>
          <w:bCs/>
        </w:rPr>
        <w:t>工作单位</w:t>
      </w:r>
      <w:bookmarkEnd w:id="97"/>
      <w:bookmarkEnd w:id="98"/>
      <w:bookmarkEnd w:id="99"/>
    </w:p>
    <w:p>
      <w:r>
        <w:rPr>
          <w:rFonts w:hint="eastAsia"/>
        </w:rPr>
        <w:t>参与调查的从业人员的工作单位以一般互联网用户和网络服务营运商用户最多，分别为34.58%和20.85%，接着是，网络安全产品与服务提供商占15.23%，科研机构和院校占12.73%，国有企事业单位占11.11%，政府网络安全监管机构占3.25%，行业协会与中介机构占2.25%。从图可以看出，国有企事业单位用户比全国低了17.07%。</w:t>
      </w:r>
    </w:p>
    <w:p/>
    <w:p>
      <w:pPr>
        <w:ind w:firstLine="0" w:firstLineChars="0"/>
        <w:jc w:val="left"/>
      </w:pPr>
    </w:p>
    <w:p>
      <w:pPr>
        <w:ind w:firstLine="0" w:firstLineChars="0"/>
        <w:jc w:val="left"/>
      </w:pPr>
    </w:p>
    <w:p>
      <w:pPr>
        <w:ind w:firstLine="0" w:firstLineChars="0"/>
        <w:jc w:val="left"/>
      </w:pPr>
    </w:p>
    <w:p>
      <w:pPr>
        <w:ind w:firstLine="0" w:firstLineChars="0"/>
        <w:jc w:val="left"/>
      </w:pPr>
    </w:p>
    <w:p>
      <w:pPr>
        <w:ind w:firstLine="0" w:firstLineChars="0"/>
        <w:jc w:val="left"/>
      </w:pPr>
    </w:p>
    <w:p>
      <w:pPr>
        <w:ind w:firstLine="0" w:firstLineChars="0"/>
        <w:jc w:val="left"/>
      </w:pPr>
    </w:p>
    <w:p>
      <w:pPr>
        <w:ind w:firstLine="0" w:firstLineChars="0"/>
        <w:jc w:val="left"/>
      </w:pPr>
      <w:r>
        <w:drawing>
          <wp:inline distT="0" distB="0" distL="114300" distR="114300">
            <wp:extent cx="5170170" cy="3906520"/>
            <wp:effectExtent l="5080" t="4445" r="6350" b="13335"/>
            <wp:docPr id="1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ind w:firstLine="440"/>
        <w:jc w:val="center"/>
        <w:rPr>
          <w:sz w:val="22"/>
          <w:szCs w:val="16"/>
        </w:rPr>
      </w:pPr>
      <w:bookmarkStart w:id="100" w:name="_Toc19305589"/>
      <w:bookmarkStart w:id="101" w:name="_Toc19203684"/>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5</w:t>
      </w:r>
      <w:r>
        <w:rPr>
          <w:sz w:val="22"/>
          <w:szCs w:val="16"/>
        </w:rPr>
        <w:fldChar w:fldCharType="end"/>
      </w:r>
      <w:bookmarkStart w:id="102" w:name="_Toc3120"/>
      <w:bookmarkStart w:id="103" w:name="_Toc14697"/>
      <w:bookmarkStart w:id="104" w:name="_Toc20441"/>
      <w:r>
        <w:rPr>
          <w:rFonts w:hint="eastAsia"/>
          <w:sz w:val="22"/>
          <w:szCs w:val="16"/>
        </w:rPr>
        <w:t>：从业人员工作单位分布图</w:t>
      </w:r>
      <w:bookmarkEnd w:id="100"/>
      <w:bookmarkEnd w:id="101"/>
      <w:bookmarkEnd w:id="102"/>
      <w:bookmarkEnd w:id="103"/>
      <w:bookmarkEnd w:id="104"/>
    </w:p>
    <w:p>
      <w:pPr>
        <w:ind w:firstLine="0" w:firstLineChars="0"/>
      </w:pPr>
    </w:p>
    <w:p>
      <w:pPr>
        <w:ind w:firstLine="0" w:firstLineChars="0"/>
      </w:pPr>
    </w:p>
    <w:p>
      <w:pPr>
        <w:pStyle w:val="2"/>
      </w:pPr>
      <w:bookmarkStart w:id="105" w:name="_Toc19207410"/>
      <w:bookmarkStart w:id="106" w:name="_Toc30639"/>
      <w:bookmarkStart w:id="107" w:name="_Toc29870"/>
      <w:bookmarkStart w:id="108" w:name="_Toc6212"/>
      <w:r>
        <w:rPr>
          <w:rFonts w:hint="eastAsia"/>
        </w:rPr>
        <w:t>四、网络安全</w:t>
      </w:r>
      <w:bookmarkEnd w:id="105"/>
      <w:r>
        <w:rPr>
          <w:rFonts w:hint="eastAsia"/>
        </w:rPr>
        <w:t>共性问题</w:t>
      </w:r>
      <w:bookmarkEnd w:id="106"/>
      <w:bookmarkEnd w:id="107"/>
      <w:bookmarkEnd w:id="108"/>
    </w:p>
    <w:p>
      <w:pPr>
        <w:pStyle w:val="3"/>
        <w:rPr>
          <w:bCs/>
        </w:rPr>
      </w:pPr>
      <w:bookmarkStart w:id="109" w:name="_Toc19207411"/>
      <w:bookmarkStart w:id="110" w:name="_Toc32560"/>
      <w:bookmarkStart w:id="111" w:name="_Toc31261"/>
      <w:bookmarkStart w:id="112" w:name="_Toc9384"/>
      <w:r>
        <w:rPr>
          <w:rFonts w:hint="eastAsia"/>
          <w:bCs/>
        </w:rPr>
        <w:t>4.1安全感总体</w:t>
      </w:r>
      <w:bookmarkEnd w:id="109"/>
      <w:r>
        <w:rPr>
          <w:rFonts w:hint="eastAsia"/>
          <w:bCs/>
        </w:rPr>
        <w:t>感受</w:t>
      </w:r>
      <w:bookmarkEnd w:id="110"/>
      <w:bookmarkEnd w:id="111"/>
      <w:bookmarkEnd w:id="112"/>
    </w:p>
    <w:p>
      <w:r>
        <w:rPr>
          <w:rFonts w:hint="eastAsia"/>
        </w:rPr>
        <w:t>（1）2020年江西省从业人员网民网络安全感评价</w:t>
      </w:r>
    </w:p>
    <w:p>
      <w:r>
        <w:rPr>
          <w:rFonts w:hint="eastAsia"/>
        </w:rPr>
        <w:t>接近一半的网民对使用网络时的总体安全感觉是安全或非常安全的。其中感到安全占22.85%，非常安全占11.86% ，两者相加占34.71%。评价一般的占42.07%，持中间的评价占第一位，显示有超过三分之一的网民对网络安全持保留态度。在负面评价方面，持不安全评价的占17.1%，非常不安全的评价占6.12%，两者相加，持不安全评价或非常不安全评价的占23.22%。</w:t>
      </w:r>
    </w:p>
    <w:p>
      <w:pPr>
        <w:ind w:firstLine="0" w:firstLineChars="0"/>
      </w:pPr>
    </w:p>
    <w:p>
      <w:pPr>
        <w:ind w:firstLine="0" w:firstLineChars="0"/>
      </w:pPr>
    </w:p>
    <w:p>
      <w:pPr>
        <w:ind w:firstLine="0" w:firstLineChars="0"/>
      </w:pPr>
      <w:r>
        <w:drawing>
          <wp:inline distT="0" distB="0" distL="114300" distR="114300">
            <wp:extent cx="5266690" cy="2847340"/>
            <wp:effectExtent l="4445" t="4445" r="5715" b="571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sz w:val="22"/>
          <w:szCs w:val="16"/>
        </w:rPr>
      </w:pPr>
      <w:r>
        <w:rPr>
          <w:sz w:val="24"/>
          <w:szCs w:val="24"/>
        </w:rPr>
        <w:t xml:space="preserve">图表 </w:t>
      </w:r>
      <w:r>
        <w:rPr>
          <w:sz w:val="24"/>
          <w:szCs w:val="24"/>
        </w:rPr>
        <w:fldChar w:fldCharType="begin"/>
      </w:r>
      <w:r>
        <w:rPr>
          <w:sz w:val="24"/>
          <w:szCs w:val="24"/>
        </w:rPr>
        <w:instrText xml:space="preserve"> SEQ 图表 \* ARABIC </w:instrText>
      </w:r>
      <w:r>
        <w:rPr>
          <w:sz w:val="24"/>
          <w:szCs w:val="24"/>
        </w:rPr>
        <w:fldChar w:fldCharType="separate"/>
      </w:r>
      <w:r>
        <w:rPr>
          <w:sz w:val="24"/>
          <w:szCs w:val="24"/>
        </w:rPr>
        <w:t>6</w:t>
      </w:r>
      <w:r>
        <w:rPr>
          <w:sz w:val="24"/>
          <w:szCs w:val="24"/>
        </w:rPr>
        <w:fldChar w:fldCharType="end"/>
      </w:r>
      <w:bookmarkStart w:id="113" w:name="_Toc4640"/>
      <w:bookmarkEnd w:id="113"/>
      <w:bookmarkStart w:id="114" w:name="_Toc26669"/>
      <w:r>
        <w:rPr>
          <w:rFonts w:hint="eastAsia"/>
          <w:sz w:val="24"/>
          <w:szCs w:val="24"/>
        </w:rPr>
        <w:t>：</w:t>
      </w:r>
      <w:r>
        <w:rPr>
          <w:rFonts w:hint="eastAsia"/>
          <w:sz w:val="22"/>
          <w:szCs w:val="16"/>
        </w:rPr>
        <w:t>从业人员网民网络安全感评价</w:t>
      </w:r>
      <w:bookmarkEnd w:id="114"/>
    </w:p>
    <w:p>
      <w:pPr>
        <w:pStyle w:val="5"/>
        <w:ind w:firstLine="0" w:firstLineChars="0"/>
      </w:pPr>
    </w:p>
    <w:p>
      <w:pPr>
        <w:ind w:firstLine="0" w:firstLineChars="0"/>
      </w:pPr>
      <w:r>
        <w:rPr>
          <w:rFonts w:hint="eastAsia"/>
        </w:rPr>
        <w:t>（图表数据来源：从业人员版主问卷第6题：您认为当前网络安全状况如何？）</w:t>
      </w:r>
    </w:p>
    <w:p/>
    <w:p>
      <w:r>
        <w:rPr>
          <w:rFonts w:hint="eastAsia"/>
        </w:rPr>
        <w:t>和2020年江西省公众网民对网络安全感的评价数据相比，认为网络非常安全的从业人员比公众网民比例要低11.53个百分点，认为网络不安全的从业人员比公众网民比例要高8.69个百分点。</w:t>
      </w:r>
    </w:p>
    <w:p/>
    <w:p>
      <w:pPr>
        <w:ind w:firstLine="0" w:firstLineChars="0"/>
      </w:pPr>
      <w:r>
        <w:drawing>
          <wp:inline distT="0" distB="0" distL="114300" distR="114300">
            <wp:extent cx="5191125" cy="2952115"/>
            <wp:effectExtent l="4445" t="4445" r="5080" b="1524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ind w:firstLine="440"/>
        <w:jc w:val="center"/>
        <w:rPr>
          <w:sz w:val="22"/>
          <w:szCs w:val="16"/>
        </w:rPr>
      </w:pPr>
      <w:bookmarkStart w:id="115" w:name="_Toc19305599"/>
      <w:bookmarkStart w:id="116" w:name="_Toc19203694"/>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7</w:t>
      </w:r>
      <w:r>
        <w:rPr>
          <w:sz w:val="22"/>
          <w:szCs w:val="16"/>
        </w:rPr>
        <w:fldChar w:fldCharType="end"/>
      </w:r>
      <w:bookmarkStart w:id="117" w:name="_Toc577"/>
      <w:bookmarkStart w:id="118" w:name="_Toc29886"/>
      <w:bookmarkStart w:id="119" w:name="_Toc29251"/>
      <w:r>
        <w:rPr>
          <w:rFonts w:hint="eastAsia"/>
          <w:sz w:val="22"/>
          <w:szCs w:val="16"/>
        </w:rPr>
        <w:t>：</w:t>
      </w:r>
      <w:bookmarkEnd w:id="115"/>
      <w:bookmarkEnd w:id="116"/>
      <w:r>
        <w:rPr>
          <w:rFonts w:hint="eastAsia"/>
          <w:sz w:val="22"/>
          <w:szCs w:val="16"/>
        </w:rPr>
        <w:t>从业人员和公众网民安全感变化评价比较</w:t>
      </w:r>
      <w:bookmarkEnd w:id="117"/>
      <w:bookmarkEnd w:id="118"/>
      <w:bookmarkEnd w:id="119"/>
    </w:p>
    <w:p/>
    <w:p>
      <w:r>
        <w:rPr>
          <w:rFonts w:hint="eastAsia"/>
        </w:rPr>
        <w:t>和2020年全国从业人员网民对网络安全感的评价数据相比，江西省从业人员的网络安全感有所降低，江西省认为网络非常安全和安全的从业人员达34.71%比全国56.78%要低22.07个百分点，认为网络安全一般的从业人员江西省比全国高7.91个百分点。</w:t>
      </w:r>
    </w:p>
    <w:p>
      <w:pPr>
        <w:ind w:firstLine="0" w:firstLineChars="0"/>
      </w:pPr>
      <w:r>
        <w:drawing>
          <wp:inline distT="0" distB="0" distL="114300" distR="114300">
            <wp:extent cx="5095875" cy="2999740"/>
            <wp:effectExtent l="4445" t="4445" r="5080" b="5715"/>
            <wp:docPr id="2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8</w:t>
      </w:r>
      <w:r>
        <w:rPr>
          <w:sz w:val="22"/>
          <w:szCs w:val="16"/>
        </w:rPr>
        <w:fldChar w:fldCharType="end"/>
      </w:r>
      <w:bookmarkStart w:id="120" w:name="_Toc18012"/>
      <w:bookmarkStart w:id="121" w:name="_Toc13991"/>
      <w:bookmarkStart w:id="122" w:name="_Toc14211"/>
      <w:r>
        <w:rPr>
          <w:rFonts w:hint="eastAsia"/>
          <w:sz w:val="22"/>
          <w:szCs w:val="16"/>
        </w:rPr>
        <w:t>：从业人员网络安全感评价比较</w:t>
      </w:r>
      <w:bookmarkEnd w:id="120"/>
      <w:bookmarkEnd w:id="121"/>
      <w:bookmarkEnd w:id="122"/>
    </w:p>
    <w:p/>
    <w:p>
      <w:r>
        <w:rPr>
          <w:rFonts w:hint="eastAsia"/>
        </w:rPr>
        <w:t>（2）从业人员对网络安全感的变化的评价</w:t>
      </w:r>
    </w:p>
    <w:p>
      <w:r>
        <w:rPr>
          <w:rFonts w:hint="eastAsia"/>
        </w:rPr>
        <w:t>江西省从业人员认为与去年相比网络安全感有较明显的提升。其中21.35% 的网民认为网络安全感有明显提升，46.07%网民认为有略有改善，两者相加达67.42%，超过三分之二的网民认为网络安全感有提升。</w:t>
      </w:r>
    </w:p>
    <w:p>
      <w:pPr>
        <w:ind w:firstLine="0" w:firstLineChars="0"/>
      </w:pPr>
    </w:p>
    <w:p>
      <w:pPr>
        <w:ind w:firstLine="0" w:firstLineChars="0"/>
      </w:pPr>
      <w:r>
        <w:drawing>
          <wp:inline distT="0" distB="0" distL="114300" distR="114300">
            <wp:extent cx="5228590" cy="3133725"/>
            <wp:effectExtent l="4445" t="4445" r="5715" b="5080"/>
            <wp:docPr id="2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ind w:firstLine="440"/>
        <w:jc w:val="center"/>
        <w:rPr>
          <w:rFonts w:ascii="黑体" w:hAnsi="黑体"/>
          <w:sz w:val="22"/>
          <w:szCs w:val="22"/>
        </w:rPr>
      </w:pPr>
      <w:r>
        <w:rPr>
          <w:rFonts w:hint="eastAsia" w:ascii="黑体" w:hAnsi="黑体"/>
          <w:sz w:val="22"/>
          <w:szCs w:val="22"/>
        </w:rPr>
        <w:t xml:space="preserve">图表 </w:t>
      </w:r>
      <w:r>
        <w:rPr>
          <w:rFonts w:ascii="黑体" w:hAnsi="黑体"/>
          <w:sz w:val="22"/>
          <w:szCs w:val="22"/>
        </w:rPr>
        <w:fldChar w:fldCharType="begin"/>
      </w:r>
      <w:r>
        <w:rPr>
          <w:rFonts w:ascii="黑体" w:hAnsi="黑体"/>
          <w:sz w:val="22"/>
          <w:szCs w:val="22"/>
        </w:rPr>
        <w:instrText xml:space="preserve"> </w:instrText>
      </w:r>
      <w:r>
        <w:rPr>
          <w:rFonts w:hint="eastAsia" w:ascii="黑体" w:hAnsi="黑体"/>
          <w:sz w:val="22"/>
          <w:szCs w:val="22"/>
        </w:rPr>
        <w:instrText xml:space="preserve">SEQ 图表 \* ARABIC</w:instrText>
      </w:r>
      <w:r>
        <w:rPr>
          <w:rFonts w:ascii="黑体" w:hAnsi="黑体"/>
          <w:sz w:val="22"/>
          <w:szCs w:val="22"/>
        </w:rPr>
        <w:instrText xml:space="preserve"> </w:instrText>
      </w:r>
      <w:r>
        <w:rPr>
          <w:rFonts w:ascii="黑体" w:hAnsi="黑体"/>
          <w:sz w:val="22"/>
          <w:szCs w:val="22"/>
        </w:rPr>
        <w:fldChar w:fldCharType="separate"/>
      </w:r>
      <w:r>
        <w:rPr>
          <w:rFonts w:hint="eastAsia" w:ascii="黑体" w:hAnsi="黑体"/>
          <w:sz w:val="22"/>
          <w:szCs w:val="22"/>
        </w:rPr>
        <w:t>9</w:t>
      </w:r>
      <w:r>
        <w:rPr>
          <w:rFonts w:ascii="黑体" w:hAnsi="黑体"/>
          <w:sz w:val="22"/>
          <w:szCs w:val="22"/>
        </w:rPr>
        <w:fldChar w:fldCharType="end"/>
      </w:r>
      <w:bookmarkStart w:id="123" w:name="_Toc2468"/>
      <w:bookmarkStart w:id="124" w:name="_Toc30898"/>
      <w:bookmarkStart w:id="125" w:name="_Toc22"/>
      <w:r>
        <w:rPr>
          <w:rFonts w:hint="eastAsia" w:ascii="黑体" w:hAnsi="黑体"/>
          <w:sz w:val="22"/>
          <w:szCs w:val="22"/>
        </w:rPr>
        <w:t>：从业人员对安全感变化的评价</w:t>
      </w:r>
      <w:bookmarkEnd w:id="123"/>
      <w:bookmarkEnd w:id="124"/>
      <w:bookmarkEnd w:id="125"/>
    </w:p>
    <w:p>
      <w:pPr>
        <w:ind w:firstLine="0" w:firstLineChars="0"/>
      </w:pPr>
      <w:r>
        <w:rPr>
          <w:rFonts w:hint="eastAsia"/>
        </w:rPr>
        <w:t>（图表数据来源：从业人员版一级问卷第7题：与去年相比，您认为当前网络安全状况是否有变化？）</w:t>
      </w:r>
    </w:p>
    <w:p>
      <w:r>
        <w:rPr>
          <w:rFonts w:hint="eastAsia"/>
        </w:rPr>
        <w:t>江西省和全国从业人员安全变化感受评价相比，认为有改善的比例略有下降，认为没有变化的，江西省比全国基本持平，然而认为有恶化的比例，江西省数据比全国高。</w:t>
      </w:r>
    </w:p>
    <w:p>
      <w:pPr>
        <w:ind w:firstLine="0" w:firstLineChars="0"/>
      </w:pPr>
      <w:r>
        <w:drawing>
          <wp:inline distT="0" distB="0" distL="114300" distR="114300">
            <wp:extent cx="5180965" cy="2923540"/>
            <wp:effectExtent l="4445" t="4445" r="15240" b="5715"/>
            <wp:docPr id="2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ind w:firstLine="440"/>
        <w:jc w:val="center"/>
        <w:rPr>
          <w:sz w:val="22"/>
          <w:szCs w:val="16"/>
        </w:rPr>
      </w:pPr>
      <w:bookmarkStart w:id="126" w:name="_Toc19305600"/>
      <w:bookmarkStart w:id="127" w:name="_Toc19203695"/>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10</w:t>
      </w:r>
      <w:r>
        <w:rPr>
          <w:sz w:val="22"/>
          <w:szCs w:val="16"/>
        </w:rPr>
        <w:fldChar w:fldCharType="end"/>
      </w:r>
      <w:bookmarkStart w:id="128" w:name="_Toc24062"/>
      <w:bookmarkStart w:id="129" w:name="_Toc8049"/>
      <w:bookmarkStart w:id="130" w:name="_Toc3685"/>
      <w:r>
        <w:rPr>
          <w:rFonts w:hint="eastAsia"/>
          <w:sz w:val="22"/>
          <w:szCs w:val="16"/>
        </w:rPr>
        <w:t>：</w:t>
      </w:r>
      <w:bookmarkEnd w:id="126"/>
      <w:bookmarkEnd w:id="127"/>
      <w:r>
        <w:rPr>
          <w:rFonts w:hint="eastAsia"/>
          <w:sz w:val="22"/>
          <w:szCs w:val="16"/>
        </w:rPr>
        <w:t>从业人员安全感变化评价比较</w:t>
      </w:r>
      <w:bookmarkEnd w:id="128"/>
      <w:bookmarkEnd w:id="129"/>
      <w:bookmarkEnd w:id="130"/>
    </w:p>
    <w:p>
      <w:pPr>
        <w:pStyle w:val="3"/>
        <w:rPr>
          <w:bCs/>
        </w:rPr>
      </w:pPr>
      <w:bookmarkStart w:id="131" w:name="_Toc18625"/>
      <w:bookmarkStart w:id="132" w:name="_Toc29706"/>
      <w:bookmarkStart w:id="133" w:name="_Toc18021"/>
      <w:bookmarkStart w:id="134" w:name="_Toc19207414"/>
      <w:r>
        <w:rPr>
          <w:rFonts w:hint="eastAsia"/>
          <w:bCs/>
        </w:rPr>
        <w:t>4.2网络安全态势感受</w:t>
      </w:r>
      <w:bookmarkEnd w:id="131"/>
      <w:bookmarkEnd w:id="132"/>
      <w:bookmarkEnd w:id="133"/>
      <w:bookmarkEnd w:id="134"/>
    </w:p>
    <w:p>
      <w:r>
        <w:rPr>
          <w:rFonts w:hint="eastAsia"/>
        </w:rPr>
        <w:t>（1）工作中常遇到的安全威胁</w:t>
      </w:r>
    </w:p>
    <w:p>
      <w:r>
        <w:rPr>
          <w:rFonts w:hint="eastAsia" w:asciiTheme="minorEastAsia" w:hAnsiTheme="minorEastAsia"/>
        </w:rPr>
        <w:t>51.56%的从业人员在工作中最常遇到的网络安全问题是恶意网络资源（恶意IP地址、恶意域名、恶意URL、网络钓鱼等），安全事件（主机受控、数据泄露、网页篡改、网络监听等）遇到率为51.06%，安全隐患（硬件漏洞、代码漏洞、业务逻辑漏洞、弱口令、后门等）遇到率为50.19%，恶意程序（勒索病毒、挖矿勒索、供应链木马、蠕虫病毒、僵尸网络等）遇到率为46.19%。相较于全国数据，顺序有所不同。</w:t>
      </w:r>
    </w:p>
    <w:p>
      <w:pPr>
        <w:ind w:firstLine="0" w:firstLineChars="0"/>
      </w:pPr>
      <w:r>
        <w:drawing>
          <wp:inline distT="0" distB="0" distL="114300" distR="114300">
            <wp:extent cx="5381625" cy="2923540"/>
            <wp:effectExtent l="4445" t="4445" r="5080" b="5715"/>
            <wp:docPr id="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ind w:firstLine="440"/>
        <w:jc w:val="center"/>
        <w:rPr>
          <w:sz w:val="22"/>
          <w:szCs w:val="16"/>
        </w:rPr>
      </w:pPr>
      <w:bookmarkStart w:id="135" w:name="_Toc19305608"/>
      <w:bookmarkStart w:id="136" w:name="_Toc19203702"/>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11</w:t>
      </w:r>
      <w:r>
        <w:rPr>
          <w:sz w:val="22"/>
          <w:szCs w:val="16"/>
        </w:rPr>
        <w:fldChar w:fldCharType="end"/>
      </w:r>
      <w:bookmarkStart w:id="137" w:name="_Toc26595"/>
      <w:bookmarkStart w:id="138" w:name="_Toc21005"/>
      <w:bookmarkStart w:id="139" w:name="_Toc12404"/>
      <w:r>
        <w:rPr>
          <w:rFonts w:hint="eastAsia"/>
          <w:sz w:val="22"/>
          <w:szCs w:val="16"/>
        </w:rPr>
        <w:t>：在工作中最常面对的网络安全威胁遇到率图</w:t>
      </w:r>
      <w:bookmarkEnd w:id="135"/>
      <w:bookmarkEnd w:id="136"/>
      <w:bookmarkEnd w:id="137"/>
      <w:bookmarkEnd w:id="138"/>
      <w:bookmarkEnd w:id="139"/>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江西省从业人员认为网络安全事件频繁出现的原因排前五位是1缺少管理和风险评估机制，2攻击威胁，3第三方与供应商管理不到位，4内部威胁，5对网络安全人才和资金投入不足，关注度分别为：58.68%、42.57%、39.08%、37.20%、36.45%；反映了管理、威胁、投入等方面是主要的原因。相较于全国数据，顺序有所不同。</w:t>
      </w:r>
    </w:p>
    <w:p>
      <w:pPr>
        <w:pStyle w:val="6"/>
        <w:ind w:firstLine="0" w:firstLineChars="0"/>
        <w:jc w:val="center"/>
      </w:pPr>
      <w:r>
        <w:drawing>
          <wp:inline distT="0" distB="0" distL="114300" distR="114300">
            <wp:extent cx="5202555" cy="4973320"/>
            <wp:effectExtent l="4445" t="4445" r="12700" b="13335"/>
            <wp:docPr id="2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ind w:firstLine="440"/>
        <w:jc w:val="center"/>
        <w:rPr>
          <w:sz w:val="22"/>
          <w:szCs w:val="16"/>
        </w:rPr>
      </w:pPr>
      <w:bookmarkStart w:id="140" w:name="_Toc19305609"/>
      <w:bookmarkStart w:id="141" w:name="_Toc19203703"/>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12</w:t>
      </w:r>
      <w:r>
        <w:rPr>
          <w:sz w:val="22"/>
          <w:szCs w:val="16"/>
        </w:rPr>
        <w:fldChar w:fldCharType="end"/>
      </w:r>
      <w:bookmarkStart w:id="142" w:name="_Toc2411"/>
      <w:bookmarkStart w:id="143" w:name="_Toc7719"/>
      <w:bookmarkStart w:id="144" w:name="_Toc9924"/>
      <w:r>
        <w:rPr>
          <w:rFonts w:hint="eastAsia"/>
          <w:sz w:val="22"/>
          <w:szCs w:val="16"/>
        </w:rPr>
        <w:t>：</w:t>
      </w:r>
      <w:bookmarkEnd w:id="140"/>
      <w:bookmarkEnd w:id="141"/>
      <w:r>
        <w:rPr>
          <w:rFonts w:hint="eastAsia"/>
          <w:sz w:val="22"/>
          <w:szCs w:val="16"/>
        </w:rPr>
        <w:t>网络安全事件出现的主要原因分布图</w:t>
      </w:r>
      <w:bookmarkEnd w:id="142"/>
      <w:bookmarkEnd w:id="143"/>
      <w:bookmarkEnd w:id="144"/>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rPr>
          <w:bCs/>
        </w:rPr>
      </w:pPr>
      <w:bookmarkStart w:id="145" w:name="_Toc6748"/>
      <w:bookmarkStart w:id="146" w:name="_Toc6544"/>
      <w:bookmarkStart w:id="147" w:name="_Toc15495"/>
      <w:r>
        <w:rPr>
          <w:rFonts w:hint="eastAsia"/>
          <w:bCs/>
        </w:rPr>
        <w:t>4.3 打击网络黑灰产业</w:t>
      </w:r>
      <w:bookmarkEnd w:id="145"/>
      <w:bookmarkEnd w:id="146"/>
      <w:bookmarkEnd w:id="147"/>
    </w:p>
    <w:p>
      <w:r>
        <w:rPr>
          <w:rFonts w:hint="eastAsia"/>
        </w:rPr>
        <w:t>（1）互联网黑灰产业活跃情况</w:t>
      </w:r>
    </w:p>
    <w:p>
      <w:r>
        <w:rPr>
          <w:rFonts w:hint="eastAsia"/>
        </w:rPr>
        <w:t>江西省</w:t>
      </w:r>
      <w:r>
        <w:t>从业</w:t>
      </w:r>
      <w:r>
        <w:rPr>
          <w:rFonts w:hint="eastAsia"/>
        </w:rPr>
        <w:t>人员对互联网黑灰产业的活跃度变化的评价差别比较大，认为增加有47.82%，比全国数据40.51%增加了7.31个百分点。其中认为明显增加的有24.47%，略有增加有23.35%。认为减少的也有31.83%，而认为不了解也有11.36</w:t>
      </w:r>
      <w:r>
        <w:t>%</w:t>
      </w:r>
      <w:r>
        <w:rPr>
          <w:rFonts w:hint="eastAsia"/>
        </w:rPr>
        <w:t>。</w:t>
      </w:r>
    </w:p>
    <w:p>
      <w:pPr>
        <w:ind w:firstLine="0" w:firstLineChars="0"/>
        <w:jc w:val="center"/>
      </w:pPr>
      <w:r>
        <w:drawing>
          <wp:inline distT="0" distB="0" distL="114300" distR="114300">
            <wp:extent cx="5152390" cy="3371215"/>
            <wp:effectExtent l="4445" t="4445" r="5715" b="15240"/>
            <wp:docPr id="2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ind w:firstLine="440"/>
        <w:jc w:val="center"/>
        <w:rPr>
          <w:sz w:val="22"/>
          <w:szCs w:val="16"/>
        </w:rPr>
      </w:pPr>
      <w:bookmarkStart w:id="148" w:name="_Toc19305610"/>
      <w:bookmarkStart w:id="149" w:name="_Toc19203704"/>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13</w:t>
      </w:r>
      <w:r>
        <w:rPr>
          <w:sz w:val="22"/>
          <w:szCs w:val="16"/>
        </w:rPr>
        <w:fldChar w:fldCharType="end"/>
      </w:r>
      <w:bookmarkStart w:id="150" w:name="_Toc26152"/>
      <w:bookmarkStart w:id="151" w:name="_Toc26475"/>
      <w:bookmarkStart w:id="152" w:name="_Toc4047"/>
      <w:r>
        <w:rPr>
          <w:rFonts w:hint="eastAsia"/>
          <w:sz w:val="22"/>
          <w:szCs w:val="16"/>
        </w:rPr>
        <w:t>：</w:t>
      </w:r>
      <w:bookmarkEnd w:id="148"/>
      <w:bookmarkEnd w:id="149"/>
      <w:r>
        <w:rPr>
          <w:rFonts w:hint="eastAsia"/>
          <w:sz w:val="22"/>
          <w:szCs w:val="16"/>
        </w:rPr>
        <w:t>互联网黑灰产业活跃情况评价</w:t>
      </w:r>
      <w:bookmarkEnd w:id="150"/>
      <w:bookmarkEnd w:id="151"/>
      <w:bookmarkEnd w:id="152"/>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50.06%江西省从业人员认为虚假流量最常见的网络黑灰产业犯罪手法。“薅羊毛”、手机应用分发排二、三位，分别为41.45</w:t>
      </w:r>
      <w:r>
        <w:t>%</w:t>
      </w:r>
      <w:r>
        <w:rPr>
          <w:rFonts w:hint="eastAsia"/>
        </w:rPr>
        <w:t>和38.08%，暗扣话费和勒索病毒列四、五位，分别为36.70%和34.83%。相较于全国数据，顺序有所不同。</w:t>
      </w:r>
    </w:p>
    <w:p>
      <w:pPr>
        <w:ind w:firstLine="0" w:firstLineChars="0"/>
        <w:jc w:val="center"/>
      </w:pPr>
      <w:r>
        <w:drawing>
          <wp:inline distT="0" distB="0" distL="114300" distR="114300">
            <wp:extent cx="4977765" cy="4415790"/>
            <wp:effectExtent l="4445" t="4445" r="8890" b="18415"/>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ind w:firstLine="440"/>
        <w:jc w:val="center"/>
        <w:rPr>
          <w:sz w:val="22"/>
          <w:szCs w:val="16"/>
        </w:rPr>
      </w:pPr>
      <w:bookmarkStart w:id="153" w:name="_Toc19203705"/>
      <w:bookmarkStart w:id="154" w:name="_Toc19305611"/>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14</w:t>
      </w:r>
      <w:r>
        <w:rPr>
          <w:sz w:val="22"/>
          <w:szCs w:val="16"/>
        </w:rPr>
        <w:fldChar w:fldCharType="end"/>
      </w:r>
      <w:bookmarkStart w:id="155" w:name="_Toc27380"/>
      <w:bookmarkStart w:id="156" w:name="_Toc19289"/>
      <w:bookmarkStart w:id="157" w:name="_Toc9661"/>
      <w:r>
        <w:rPr>
          <w:rFonts w:hint="eastAsia"/>
          <w:sz w:val="22"/>
          <w:szCs w:val="16"/>
        </w:rPr>
        <w:t>：</w:t>
      </w:r>
      <w:bookmarkEnd w:id="153"/>
      <w:bookmarkEnd w:id="154"/>
      <w:r>
        <w:rPr>
          <w:rFonts w:hint="eastAsia"/>
          <w:sz w:val="22"/>
          <w:szCs w:val="16"/>
        </w:rPr>
        <w:t>常见网络黑灰产业犯罪手法</w:t>
      </w:r>
      <w:bookmarkEnd w:id="155"/>
      <w:bookmarkEnd w:id="156"/>
      <w:bookmarkEnd w:id="157"/>
    </w:p>
    <w:p>
      <w:pPr>
        <w:ind w:firstLine="0" w:firstLineChars="0"/>
      </w:pPr>
      <w:r>
        <w:rPr>
          <w:rFonts w:hint="eastAsia"/>
        </w:rPr>
        <w:t>（图表数据来源：</w:t>
      </w:r>
      <w:bookmarkStart w:id="158" w:name="_Hlk48322068"/>
      <w:r>
        <w:rPr>
          <w:rFonts w:hint="eastAsia"/>
        </w:rPr>
        <w:t>从业人员版主问卷第11题：</w:t>
      </w:r>
      <w:bookmarkEnd w:id="158"/>
      <w:r>
        <w:rPr>
          <w:rFonts w:hint="eastAsia"/>
        </w:rPr>
        <w:t>以下哪些网络黑灰产犯罪手法是您近一年常见的？）</w:t>
      </w:r>
    </w:p>
    <w:p>
      <w:pPr>
        <w:ind w:firstLine="0" w:firstLineChars="0"/>
      </w:pPr>
    </w:p>
    <w:p>
      <w:r>
        <w:rPr>
          <w:rFonts w:hint="eastAsia"/>
        </w:rPr>
        <w:t>（3）“刷流量”、“网络水军”的现象屡禁不绝的原因</w:t>
      </w:r>
    </w:p>
    <w:p>
      <w:r>
        <w:rPr>
          <w:rFonts w:hint="eastAsia"/>
        </w:rPr>
        <w:t>65.92%的从业人员认为利益驱动，监管力度不够、相关法律欠缺、平台管理漏洞则位列2、3、4位，关注度分别位64.54%、60.80%、58.05</w:t>
      </w:r>
      <w:r>
        <w:t>%</w:t>
      </w:r>
      <w:r>
        <w:rPr>
          <w:rFonts w:hint="eastAsia"/>
        </w:rPr>
        <w:t>。相较于全国数据，顺序有所不同。</w:t>
      </w:r>
    </w:p>
    <w:p>
      <w:pPr>
        <w:ind w:firstLine="0" w:firstLineChars="0"/>
      </w:pPr>
      <w:r>
        <w:drawing>
          <wp:inline distT="0" distB="0" distL="114300" distR="114300">
            <wp:extent cx="5250180" cy="3531235"/>
            <wp:effectExtent l="4445" t="4445" r="22225" b="7620"/>
            <wp:docPr id="27"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ind w:firstLine="440"/>
        <w:jc w:val="center"/>
        <w:rPr>
          <w:sz w:val="22"/>
          <w:szCs w:val="16"/>
        </w:rPr>
      </w:pPr>
      <w:bookmarkStart w:id="159" w:name="_Toc19305612"/>
      <w:bookmarkStart w:id="160" w:name="_Toc19203706"/>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15</w:t>
      </w:r>
      <w:r>
        <w:rPr>
          <w:sz w:val="22"/>
          <w:szCs w:val="16"/>
        </w:rPr>
        <w:fldChar w:fldCharType="end"/>
      </w:r>
      <w:bookmarkStart w:id="161" w:name="_Toc6503"/>
      <w:bookmarkStart w:id="162" w:name="_Toc18563"/>
      <w:bookmarkStart w:id="163" w:name="_Toc10827"/>
      <w:r>
        <w:rPr>
          <w:rFonts w:hint="eastAsia"/>
          <w:sz w:val="22"/>
          <w:szCs w:val="16"/>
        </w:rPr>
        <w:t>：</w:t>
      </w:r>
      <w:bookmarkEnd w:id="159"/>
      <w:bookmarkEnd w:id="160"/>
      <w:r>
        <w:rPr>
          <w:rFonts w:hint="eastAsia"/>
          <w:sz w:val="22"/>
          <w:szCs w:val="16"/>
        </w:rPr>
        <w:t>刷流量网络水军现象屡禁不绝的原因</w:t>
      </w:r>
      <w:bookmarkEnd w:id="161"/>
      <w:bookmarkEnd w:id="162"/>
      <w:bookmarkEnd w:id="163"/>
    </w:p>
    <w:p>
      <w:pPr>
        <w:ind w:firstLine="0" w:firstLineChars="0"/>
      </w:pPr>
      <w:r>
        <w:rPr>
          <w:rFonts w:hint="eastAsia"/>
        </w:rPr>
        <w:t>（图表数据来源：从业人员版主问卷第12题：您认为“刷流量”、“网络水军”的现象为何屡禁不绝？）</w:t>
      </w:r>
    </w:p>
    <w:p>
      <w:pPr>
        <w:ind w:firstLine="0" w:firstLineChars="0"/>
      </w:pPr>
    </w:p>
    <w:p>
      <w:r>
        <w:rPr>
          <w:rFonts w:hint="eastAsia"/>
        </w:rPr>
        <w:t>（4）整治网络黑灰产业的关键</w:t>
      </w:r>
    </w:p>
    <w:p>
      <w:r>
        <w:rPr>
          <w:rFonts w:hint="eastAsia"/>
        </w:rPr>
        <w:t>64.04%从业人员认为从信息链条入手最关键，流量链条、资金链条、账号链条、推广链条分列2、3、4、5位，关注度分别为54.31%、48.81%、48.81%、44.44%。相较于全国数据，顺序有所不同。</w:t>
      </w:r>
    </w:p>
    <w:p>
      <w:r>
        <w:drawing>
          <wp:inline distT="0" distB="0" distL="114300" distR="114300">
            <wp:extent cx="5067300" cy="3797935"/>
            <wp:effectExtent l="4445" t="4445" r="14605" b="7620"/>
            <wp:docPr id="28"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ind w:firstLine="440"/>
        <w:jc w:val="center"/>
        <w:rPr>
          <w:sz w:val="22"/>
          <w:szCs w:val="16"/>
        </w:rPr>
      </w:pPr>
      <w:bookmarkStart w:id="164" w:name="_Toc19305613"/>
      <w:bookmarkStart w:id="165" w:name="_Toc19203707"/>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16</w:t>
      </w:r>
      <w:r>
        <w:rPr>
          <w:sz w:val="22"/>
          <w:szCs w:val="16"/>
        </w:rPr>
        <w:fldChar w:fldCharType="end"/>
      </w:r>
      <w:bookmarkStart w:id="166" w:name="_Toc24146"/>
      <w:bookmarkStart w:id="167" w:name="_Toc30396"/>
      <w:bookmarkStart w:id="168" w:name="_Toc15326"/>
      <w:r>
        <w:rPr>
          <w:rFonts w:hint="eastAsia"/>
          <w:sz w:val="22"/>
          <w:szCs w:val="16"/>
        </w:rPr>
        <w:t>：</w:t>
      </w:r>
      <w:bookmarkEnd w:id="164"/>
      <w:bookmarkEnd w:id="165"/>
      <w:r>
        <w:rPr>
          <w:rFonts w:hint="eastAsia"/>
          <w:sz w:val="22"/>
          <w:szCs w:val="16"/>
        </w:rPr>
        <w:t>整治网络黑灰产业关键手段评价</w:t>
      </w:r>
      <w:bookmarkEnd w:id="166"/>
      <w:bookmarkEnd w:id="167"/>
      <w:bookmarkEnd w:id="168"/>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
      <w:pPr>
        <w:pStyle w:val="3"/>
        <w:rPr>
          <w:bCs/>
        </w:rPr>
      </w:pPr>
      <w:bookmarkStart w:id="169" w:name="_Toc19207415"/>
      <w:bookmarkStart w:id="170" w:name="_Toc30687"/>
      <w:bookmarkStart w:id="171" w:name="_Toc28422"/>
      <w:bookmarkStart w:id="172" w:name="_Toc6447"/>
      <w:r>
        <w:rPr>
          <w:rFonts w:hint="eastAsia"/>
          <w:bCs/>
        </w:rPr>
        <w:t>4.</w:t>
      </w:r>
      <w:bookmarkEnd w:id="169"/>
      <w:r>
        <w:rPr>
          <w:rFonts w:hint="eastAsia"/>
          <w:bCs/>
        </w:rPr>
        <w:t>4网络安全的治理</w:t>
      </w:r>
      <w:bookmarkEnd w:id="170"/>
      <w:bookmarkEnd w:id="171"/>
      <w:bookmarkEnd w:id="172"/>
    </w:p>
    <w:p>
      <w:r>
        <w:rPr>
          <w:rFonts w:hint="eastAsia"/>
        </w:rPr>
        <w:t>（1）网络安全最突出的问题</w:t>
      </w:r>
    </w:p>
    <w:p>
      <w:r>
        <w:rPr>
          <w:rFonts w:hint="eastAsia"/>
        </w:rPr>
        <w:t>77.53%的从业人员认为网络安全最突出或亟需治理的问题是信息泄露。网络诈骗、网络骚扰分别列第2、第3位，关注度达62.80%和62.17%。网络谣言与诽谤、网络色情、网络赌博、网络支付陷阱与恶意吸费关注度也比较高，分别为49.56%、45.19%、45.07%、39.58%。数据显示信息保护、打击诈骗、网络欺凌、打击涉黄涉赌等是主要的痛点。从图可以看出，对于网络安全最突出的问题江西省和全国从业人员的认识较统一，顺序基本一致。</w:t>
      </w:r>
    </w:p>
    <w:p>
      <w:pPr>
        <w:ind w:firstLine="0" w:firstLineChars="0"/>
      </w:pPr>
      <w:r>
        <w:drawing>
          <wp:inline distT="0" distB="0" distL="114300" distR="114300">
            <wp:extent cx="5274945" cy="5617210"/>
            <wp:effectExtent l="4445" t="4445" r="16510" b="17145"/>
            <wp:docPr id="29"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ind w:firstLine="440"/>
        <w:jc w:val="center"/>
        <w:rPr>
          <w:sz w:val="22"/>
          <w:szCs w:val="16"/>
        </w:rPr>
      </w:pPr>
      <w:bookmarkStart w:id="173" w:name="_Toc19305614"/>
      <w:bookmarkStart w:id="174" w:name="_Toc19203708"/>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17</w:t>
      </w:r>
      <w:r>
        <w:rPr>
          <w:sz w:val="22"/>
          <w:szCs w:val="16"/>
        </w:rPr>
        <w:fldChar w:fldCharType="end"/>
      </w:r>
      <w:bookmarkStart w:id="175" w:name="_Toc9203"/>
      <w:bookmarkStart w:id="176" w:name="_Toc13593"/>
      <w:bookmarkStart w:id="177" w:name="_Toc3542"/>
      <w:r>
        <w:rPr>
          <w:rFonts w:hint="eastAsia"/>
          <w:sz w:val="22"/>
          <w:szCs w:val="16"/>
        </w:rPr>
        <w:t>：</w:t>
      </w:r>
      <w:bookmarkEnd w:id="173"/>
      <w:bookmarkEnd w:id="174"/>
      <w:r>
        <w:rPr>
          <w:rFonts w:hint="eastAsia"/>
          <w:sz w:val="22"/>
          <w:szCs w:val="16"/>
        </w:rPr>
        <w:t>网络安全最突出或亟需治理的问题</w:t>
      </w:r>
      <w:bookmarkEnd w:id="175"/>
      <w:bookmarkEnd w:id="176"/>
      <w:bookmarkEnd w:id="177"/>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74.16%）、2强化网络安全监管（60.42%）、3、贯彻落实网络安全等级保护制度（59.55%）、3严厉打击网络违法犯罪行为（54.18%）、5提升网络安全问题的发现能力（53.68%）、6、落实网络平台主体责任（51.56%）。相较于全国数据，顺序基本一致。</w:t>
      </w:r>
    </w:p>
    <w:p>
      <w:pPr>
        <w:ind w:firstLine="0" w:firstLineChars="0"/>
      </w:pPr>
      <w:r>
        <w:drawing>
          <wp:inline distT="0" distB="0" distL="114300" distR="114300">
            <wp:extent cx="5434965" cy="6231255"/>
            <wp:effectExtent l="4445" t="4445" r="8890" b="12700"/>
            <wp:docPr id="30"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ind w:firstLine="440"/>
        <w:jc w:val="center"/>
        <w:rPr>
          <w:sz w:val="22"/>
          <w:szCs w:val="16"/>
        </w:rPr>
      </w:pPr>
      <w:bookmarkStart w:id="178" w:name="_Toc19305615"/>
      <w:bookmarkStart w:id="179" w:name="_Toc19203709"/>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18</w:t>
      </w:r>
      <w:r>
        <w:rPr>
          <w:sz w:val="22"/>
          <w:szCs w:val="16"/>
        </w:rPr>
        <w:fldChar w:fldCharType="end"/>
      </w:r>
      <w:bookmarkStart w:id="180" w:name="_Toc29511"/>
      <w:bookmarkStart w:id="181" w:name="_Toc21702"/>
      <w:bookmarkStart w:id="182" w:name="_Toc13640"/>
      <w:r>
        <w:rPr>
          <w:rFonts w:hint="eastAsia"/>
          <w:sz w:val="22"/>
          <w:szCs w:val="16"/>
        </w:rPr>
        <w:t>：</w:t>
      </w:r>
      <w:bookmarkEnd w:id="178"/>
      <w:bookmarkEnd w:id="179"/>
      <w:r>
        <w:rPr>
          <w:rFonts w:hint="eastAsia"/>
          <w:sz w:val="22"/>
          <w:szCs w:val="16"/>
        </w:rPr>
        <w:t>维护网络安全最需要采取的措施</w:t>
      </w:r>
      <w:bookmarkEnd w:id="180"/>
      <w:bookmarkEnd w:id="181"/>
      <w:bookmarkEnd w:id="182"/>
    </w:p>
    <w:p>
      <w:pPr>
        <w:ind w:firstLine="0" w:firstLineChars="0"/>
      </w:pPr>
      <w:r>
        <w:rPr>
          <w:rFonts w:hint="eastAsia"/>
        </w:rPr>
        <w:t>（图表数据来源：</w:t>
      </w:r>
      <w:bookmarkStart w:id="183" w:name="_Hlk48325143"/>
      <w:r>
        <w:rPr>
          <w:rFonts w:hint="eastAsia"/>
        </w:rPr>
        <w:t>从业人员版主问卷第15题：</w:t>
      </w:r>
      <w:bookmarkEnd w:id="183"/>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从业人员对加强网络安全立法的内容的关注点主要在：1个人信息保护（68.79%）、2网络平台责任（62.05%）、3网络安全各领域监管（45.94</w:t>
      </w:r>
      <w:r>
        <w:t>%</w:t>
      </w:r>
      <w:r>
        <w:rPr>
          <w:rFonts w:hint="eastAsia"/>
        </w:rPr>
        <w:t>）。网络违法犯罪防治、未成年人上网保护、网络安全等级保护、关键信息基础设施保护等方面立法关注度也比较高，关注度大于40%。相较于全国数据，顺序基本一致。</w:t>
      </w:r>
    </w:p>
    <w:p>
      <w:pPr>
        <w:ind w:firstLine="0" w:firstLineChars="0"/>
      </w:pPr>
      <w:r>
        <w:drawing>
          <wp:inline distT="0" distB="0" distL="114300" distR="114300">
            <wp:extent cx="5274945" cy="5702300"/>
            <wp:effectExtent l="4445" t="4445" r="16510" b="8255"/>
            <wp:docPr id="31"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ind w:firstLine="440"/>
        <w:jc w:val="center"/>
        <w:rPr>
          <w:sz w:val="22"/>
          <w:szCs w:val="16"/>
        </w:rPr>
      </w:pPr>
      <w:bookmarkStart w:id="184" w:name="_Toc19305616"/>
      <w:bookmarkStart w:id="185" w:name="_Toc19203710"/>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19</w:t>
      </w:r>
      <w:r>
        <w:rPr>
          <w:sz w:val="22"/>
          <w:szCs w:val="16"/>
        </w:rPr>
        <w:fldChar w:fldCharType="end"/>
      </w:r>
      <w:bookmarkStart w:id="186" w:name="_Toc15245"/>
      <w:bookmarkStart w:id="187" w:name="_Toc7156"/>
      <w:bookmarkStart w:id="188" w:name="_Toc20600"/>
      <w:r>
        <w:rPr>
          <w:rFonts w:hint="eastAsia"/>
          <w:sz w:val="22"/>
          <w:szCs w:val="16"/>
        </w:rPr>
        <w:t>：</w:t>
      </w:r>
      <w:bookmarkEnd w:id="184"/>
      <w:bookmarkEnd w:id="185"/>
      <w:r>
        <w:rPr>
          <w:rFonts w:hint="eastAsia"/>
          <w:sz w:val="22"/>
          <w:szCs w:val="16"/>
        </w:rPr>
        <w:t>亟待加强的网络安全立法内容</w:t>
      </w:r>
      <w:bookmarkEnd w:id="186"/>
      <w:bookmarkEnd w:id="187"/>
      <w:bookmarkEnd w:id="188"/>
    </w:p>
    <w:p>
      <w:pPr>
        <w:ind w:firstLine="0" w:firstLineChars="0"/>
      </w:pPr>
      <w:r>
        <w:rPr>
          <w:rFonts w:hint="eastAsia"/>
        </w:rPr>
        <w:t>（图表数据来源：从业人员版主问卷第16题：您认为亟待加强的网络安全立法内容有哪些？）</w:t>
      </w:r>
    </w:p>
    <w:p/>
    <w:p>
      <w:r>
        <w:rPr>
          <w:rFonts w:hint="eastAsia"/>
        </w:rPr>
        <w:t>（4）网络安全管理部门的认知度</w:t>
      </w:r>
    </w:p>
    <w:p>
      <w:r>
        <w:rPr>
          <w:rFonts w:hint="eastAsia"/>
        </w:rPr>
        <w:t>江西省从业人员对网络安全管理部门的认知度排列为：网信办（73.28%）、公安（65.79%）、工信（45.19%）、国安（41.70%）。</w:t>
      </w:r>
    </w:p>
    <w:p>
      <w:pPr>
        <w:ind w:firstLineChars="0"/>
      </w:pPr>
      <w:r>
        <w:rPr>
          <w:rFonts w:hint="eastAsia"/>
        </w:rPr>
        <w:t>和全国相比，网信部门、密码部门的认知度持平，工信部门、广电部门略高一些之外，其它各相关管理部门的认知度都略低于全国。</w:t>
      </w:r>
      <w:r>
        <w:t xml:space="preserve"> </w:t>
      </w:r>
    </w:p>
    <w:p>
      <w:pPr>
        <w:ind w:firstLine="0" w:firstLineChars="0"/>
      </w:pPr>
    </w:p>
    <w:p>
      <w:pPr>
        <w:ind w:firstLine="0" w:firstLineChars="0"/>
      </w:pPr>
      <w:r>
        <w:drawing>
          <wp:inline distT="0" distB="0" distL="114300" distR="114300">
            <wp:extent cx="5332095" cy="4660900"/>
            <wp:effectExtent l="4445" t="4445" r="16510" b="20955"/>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ind w:firstLine="440"/>
        <w:jc w:val="center"/>
        <w:rPr>
          <w:sz w:val="22"/>
          <w:szCs w:val="16"/>
        </w:rPr>
      </w:pPr>
      <w:bookmarkStart w:id="189" w:name="_Toc19203711"/>
      <w:bookmarkStart w:id="190" w:name="_Toc19305617"/>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20</w:t>
      </w:r>
      <w:r>
        <w:rPr>
          <w:sz w:val="22"/>
          <w:szCs w:val="16"/>
        </w:rPr>
        <w:fldChar w:fldCharType="end"/>
      </w:r>
      <w:bookmarkStart w:id="191" w:name="_Toc32116"/>
      <w:bookmarkStart w:id="192" w:name="_Toc25015"/>
      <w:bookmarkStart w:id="193" w:name="_Toc17278"/>
      <w:r>
        <w:rPr>
          <w:rFonts w:hint="eastAsia"/>
          <w:sz w:val="22"/>
          <w:szCs w:val="16"/>
        </w:rPr>
        <w:t>：</w:t>
      </w:r>
      <w:bookmarkEnd w:id="189"/>
      <w:bookmarkEnd w:id="190"/>
      <w:r>
        <w:rPr>
          <w:rFonts w:hint="eastAsia"/>
          <w:sz w:val="22"/>
          <w:szCs w:val="16"/>
        </w:rPr>
        <w:t>网络安全相关管理部门的认知度</w:t>
      </w:r>
      <w:bookmarkEnd w:id="191"/>
      <w:bookmarkEnd w:id="192"/>
      <w:bookmarkEnd w:id="193"/>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从业人员对政府有关部门对网络安全监管力度评价比较好，认为非常强占12.36</w:t>
      </w:r>
      <w:r>
        <w:t>%</w:t>
      </w:r>
      <w:r>
        <w:rPr>
          <w:rFonts w:hint="eastAsia"/>
        </w:rPr>
        <w:t>，认为比较强占31.96%，即认为强的占44.32%，几乎一半。认为一般有35.96%。</w:t>
      </w:r>
    </w:p>
    <w:p>
      <w:r>
        <w:rPr>
          <w:rFonts w:hint="eastAsia"/>
        </w:rPr>
        <w:t>和全国比较，正面评价增加。认为强的占44.32比全国低了10.66个百分点，认为一般的与全国持平，认为不足的占19.72比全国高了11.1个百分点。</w:t>
      </w:r>
    </w:p>
    <w:p>
      <w:pPr>
        <w:ind w:firstLine="0" w:firstLineChars="0"/>
      </w:pPr>
      <w:r>
        <w:t xml:space="preserve">  </w:t>
      </w:r>
    </w:p>
    <w:p>
      <w:pPr>
        <w:ind w:firstLine="0" w:firstLineChars="0"/>
      </w:pPr>
      <w:r>
        <w:drawing>
          <wp:inline distT="0" distB="0" distL="114300" distR="114300">
            <wp:extent cx="5273675" cy="3172460"/>
            <wp:effectExtent l="4445" t="4445" r="17780" b="23495"/>
            <wp:docPr id="34"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ind w:firstLine="440"/>
        <w:jc w:val="center"/>
        <w:rPr>
          <w:sz w:val="22"/>
          <w:szCs w:val="16"/>
        </w:rPr>
      </w:pPr>
      <w:bookmarkStart w:id="194" w:name="_Toc19305618"/>
      <w:bookmarkStart w:id="195" w:name="_Toc19203712"/>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21</w:t>
      </w:r>
      <w:r>
        <w:rPr>
          <w:sz w:val="22"/>
          <w:szCs w:val="16"/>
        </w:rPr>
        <w:fldChar w:fldCharType="end"/>
      </w:r>
      <w:bookmarkStart w:id="196" w:name="_Toc19813"/>
      <w:bookmarkStart w:id="197" w:name="_Toc20436"/>
      <w:bookmarkStart w:id="198" w:name="_Toc26911"/>
      <w:r>
        <w:rPr>
          <w:rFonts w:hint="eastAsia"/>
          <w:sz w:val="22"/>
          <w:szCs w:val="16"/>
        </w:rPr>
        <w:t>：</w:t>
      </w:r>
      <w:bookmarkEnd w:id="194"/>
      <w:bookmarkEnd w:id="195"/>
      <w:r>
        <w:rPr>
          <w:rFonts w:hint="eastAsia"/>
          <w:sz w:val="22"/>
          <w:szCs w:val="16"/>
        </w:rPr>
        <w:t>政府部门对网络安全的监管力度评价</w:t>
      </w:r>
      <w:bookmarkEnd w:id="196"/>
      <w:bookmarkEnd w:id="197"/>
      <w:bookmarkEnd w:id="198"/>
    </w:p>
    <w:p>
      <w:pPr>
        <w:ind w:firstLine="0" w:firstLineChars="0"/>
      </w:pPr>
      <w:r>
        <w:rPr>
          <w:rFonts w:hint="eastAsia"/>
        </w:rPr>
        <w:t>（图表数据来源：从业人员版主问卷第18题：您认为政府相关部门在网络安全方面的监管力度如何？）</w:t>
      </w:r>
    </w:p>
    <w:p/>
    <w:p>
      <w:pPr>
        <w:pStyle w:val="2"/>
      </w:pPr>
      <w:bookmarkStart w:id="199" w:name="_Toc19207416"/>
      <w:r>
        <w:rPr>
          <w:b w:val="0"/>
          <w:bCs w:val="0"/>
        </w:rPr>
        <w:br w:type="page"/>
      </w:r>
      <w:bookmarkEnd w:id="199"/>
      <w:bookmarkStart w:id="200" w:name="_Toc5226"/>
      <w:r>
        <w:rPr>
          <w:rFonts w:hint="eastAsia"/>
        </w:rPr>
        <w:t>附件一：调查方法与数据样本情况</w:t>
      </w:r>
      <w:bookmarkEnd w:id="200"/>
    </w:p>
    <w:p>
      <w:bookmarkStart w:id="201" w:name="_Toc19207435"/>
      <w:bookmarkStart w:id="202" w:name="_Toc19203354"/>
      <w:r>
        <w:rPr>
          <w:rFonts w:hint="eastAsia"/>
        </w:rPr>
        <w:t>一、背景</w:t>
      </w:r>
      <w:bookmarkEnd w:id="201"/>
      <w:bookmarkEnd w:id="202"/>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203" w:name="_Toc19207436"/>
      <w:bookmarkStart w:id="204" w:name="_Toc19203355"/>
      <w:r>
        <w:rPr>
          <w:rFonts w:hint="eastAsia"/>
        </w:rPr>
        <w:t>二、目的</w:t>
      </w:r>
      <w:bookmarkEnd w:id="203"/>
      <w:bookmarkEnd w:id="204"/>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05" w:name="_Toc19207437"/>
      <w:bookmarkStart w:id="206" w:name="_Toc19203356"/>
      <w:r>
        <w:rPr>
          <w:rFonts w:hint="eastAsia"/>
        </w:rPr>
        <w:t>三、调查方式</w:t>
      </w:r>
      <w:bookmarkEnd w:id="205"/>
      <w:bookmarkEnd w:id="206"/>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207" w:name="_Toc19203357"/>
      <w:bookmarkStart w:id="208" w:name="_Toc19207438"/>
      <w:r>
        <w:rPr>
          <w:rFonts w:hint="eastAsia"/>
        </w:rPr>
        <w:t>四、调查数据的有效性</w:t>
      </w:r>
      <w:bookmarkEnd w:id="207"/>
      <w:bookmarkEnd w:id="208"/>
    </w:p>
    <w:p>
      <w:r>
        <w:rPr>
          <w:rFonts w:hint="eastAsia"/>
        </w:rPr>
        <w:t>根据本次调查活动收集的数据情况来看有以下特点：</w:t>
      </w:r>
    </w:p>
    <w:p>
      <w:pPr>
        <w:pStyle w:val="22"/>
        <w:numPr>
          <w:ilvl w:val="0"/>
          <w:numId w:val="2"/>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从调查数据来源来看，从业人员数据的分布广泛，全国34个省、直辖市、自治区（包括港澳台）均有数据，其中2个省的数据量超过5万，6个省数据量过万，27个省的数量超过1千。</w:t>
      </w:r>
    </w:p>
    <w:p>
      <w:r>
        <w:rPr>
          <w:rFonts w:hint="eastAsia"/>
        </w:rPr>
        <w:t>3）调查数据分布比较均匀</w:t>
      </w:r>
    </w:p>
    <w:p>
      <w:r>
        <w:rPr>
          <w:rFonts w:hint="eastAsia"/>
        </w:rPr>
        <w:t>从调查数据来源来看，数据的分布较广泛，全国多个省市都有一定数量的样本数据分布，样本分布比较均匀。</w:t>
      </w:r>
    </w:p>
    <w:p>
      <w:r>
        <w:rPr>
          <w:rFonts w:hint="eastAsia"/>
        </w:rPr>
        <w:t xml:space="preserve">从以上分析，本次问卷调查数据的样本基本符合网民的分布的主要特性，具有一定的代表性。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209" w:name="_Toc50902728"/>
      <w:bookmarkStart w:id="210" w:name="_Toc50885002"/>
      <w:bookmarkStart w:id="211" w:name="_Toc5220"/>
      <w:r>
        <w:rPr>
          <w:rFonts w:hint="eastAsia" w:eastAsia="宋体" w:asciiTheme="minorHAnsi" w:hAnsiTheme="minorHAnsi" w:cstheme="minorHAnsi"/>
          <w:sz w:val="32"/>
          <w:szCs w:val="32"/>
        </w:rPr>
        <w:t>附件二：调查报告致谢词</w:t>
      </w:r>
      <w:bookmarkEnd w:id="209"/>
      <w:bookmarkEnd w:id="210"/>
      <w:bookmarkEnd w:id="211"/>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pStyle w:val="2"/>
        <w:rPr>
          <w:rFonts w:ascii="宋体" w:hAnsi="宋体" w:eastAsia="宋体"/>
          <w:sz w:val="32"/>
          <w:szCs w:val="32"/>
        </w:rPr>
      </w:pPr>
      <w:bookmarkStart w:id="212" w:name="_Toc24488"/>
      <w:bookmarkStart w:id="213" w:name="_Toc50902729"/>
      <w:r>
        <w:rPr>
          <w:rFonts w:hint="eastAsia" w:ascii="宋体" w:hAnsi="宋体" w:eastAsia="宋体"/>
          <w:sz w:val="32"/>
          <w:szCs w:val="32"/>
        </w:rPr>
        <w:t>附件三：调查活动指导单位、联合发起单位和组委会名单</w:t>
      </w:r>
      <w:bookmarkEnd w:id="212"/>
      <w:bookmarkEnd w:id="213"/>
    </w:p>
    <w:p>
      <w:pPr>
        <w:spacing w:before="120" w:beforeLines="50" w:after="120" w:afterLines="50"/>
        <w:ind w:firstLine="643"/>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（一）指导单位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公安部网络安全保卫局</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（二）发起单位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全国135家网络安全行业协会及相关社会组织（参看附件四）</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（三）联合发起单位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北京大学</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中国互联网协会</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中国电子技术标准化研究院</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国家计算机病毒应急处理中心</w:t>
      </w:r>
    </w:p>
    <w:p>
      <w:pPr>
        <w:widowControl/>
        <w:adjustRightInd/>
        <w:snapToGrid/>
        <w:spacing w:line="240" w:lineRule="auto"/>
        <w:ind w:firstLine="0" w:firstLineChars="0"/>
        <w:jc w:val="left"/>
        <w:rPr>
          <w:rFonts w:ascii="宋体" w:hAnsi="宋体" w:eastAsia="宋体"/>
          <w:b/>
          <w:bCs/>
          <w:sz w:val="32"/>
          <w:szCs w:val="28"/>
        </w:rPr>
      </w:pPr>
      <w:r>
        <w:rPr>
          <w:rFonts w:ascii="宋体" w:hAnsi="宋体" w:eastAsia="宋体"/>
          <w:b/>
          <w:bCs/>
          <w:sz w:val="32"/>
          <w:szCs w:val="28"/>
        </w:rPr>
        <w:br w:type="page"/>
      </w:r>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（四）组委会</w:t>
      </w:r>
    </w:p>
    <w:p>
      <w:pPr>
        <w:ind w:firstLine="0" w:firstLineChars="0"/>
        <w:jc w:val="left"/>
        <w:rPr>
          <w:rFonts w:ascii="宋体" w:hAnsi="宋体" w:eastAsia="宋体"/>
        </w:rPr>
      </w:pPr>
      <w:r>
        <w:rPr>
          <w:rFonts w:hint="eastAsia" w:ascii="宋体" w:hAnsi="宋体" w:eastAsia="宋体"/>
        </w:rPr>
        <w:t>主任：</w:t>
      </w:r>
    </w:p>
    <w:p>
      <w:pPr>
        <w:jc w:val="left"/>
        <w:rPr>
          <w:rFonts w:ascii="宋体" w:hAnsi="宋体" w:eastAsia="宋体"/>
        </w:rPr>
      </w:pPr>
      <w:r>
        <w:rPr>
          <w:rFonts w:hint="eastAsia" w:ascii="宋体" w:hAnsi="宋体" w:eastAsia="宋体"/>
        </w:rPr>
        <w:t xml:space="preserve">严 </w:t>
      </w:r>
      <w:r>
        <w:rPr>
          <w:rFonts w:ascii="宋体" w:hAnsi="宋体" w:eastAsia="宋体"/>
        </w:rPr>
        <w:t xml:space="preserve"> </w:t>
      </w:r>
      <w:r>
        <w:rPr>
          <w:rFonts w:hint="eastAsia" w:ascii="宋体" w:hAnsi="宋体" w:eastAsia="宋体"/>
        </w:rPr>
        <w:t>明    公安部第一、三研究所原所长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副主任：</w:t>
      </w:r>
    </w:p>
    <w:p>
      <w:pPr>
        <w:jc w:val="left"/>
        <w:rPr>
          <w:rFonts w:ascii="宋体" w:hAnsi="宋体" w:eastAsia="宋体"/>
        </w:rPr>
      </w:pPr>
      <w:r>
        <w:rPr>
          <w:rFonts w:hint="eastAsia" w:ascii="宋体" w:hAnsi="宋体" w:eastAsia="宋体"/>
        </w:rPr>
        <w:t>谢毅平    广东新兴国家网络安全和信息化发展研究院院长</w:t>
      </w:r>
    </w:p>
    <w:p>
      <w:pPr>
        <w:jc w:val="left"/>
        <w:rPr>
          <w:rFonts w:ascii="宋体" w:hAnsi="宋体" w:eastAsia="宋体"/>
        </w:rPr>
      </w:pPr>
      <w:r>
        <w:rPr>
          <w:rFonts w:hint="eastAsia" w:ascii="宋体" w:hAnsi="宋体" w:eastAsia="宋体"/>
        </w:rPr>
        <w:t xml:space="preserve">          公安部科技信息化局原局长</w:t>
      </w:r>
    </w:p>
    <w:p>
      <w:pPr>
        <w:jc w:val="left"/>
        <w:rPr>
          <w:rFonts w:ascii="宋体" w:hAnsi="宋体" w:eastAsia="宋体"/>
        </w:rPr>
      </w:pPr>
      <w:r>
        <w:rPr>
          <w:rFonts w:hint="eastAsia" w:ascii="宋体" w:hAnsi="宋体" w:eastAsia="宋体"/>
        </w:rPr>
        <w:t>袁旭阳    北京网络行业协会会长</w:t>
      </w:r>
    </w:p>
    <w:p>
      <w:pPr>
        <w:jc w:val="left"/>
        <w:rPr>
          <w:rFonts w:ascii="宋体" w:hAnsi="宋体" w:eastAsia="宋体"/>
        </w:rPr>
      </w:pPr>
      <w:r>
        <w:rPr>
          <w:rFonts w:hint="eastAsia" w:ascii="宋体" w:hAnsi="宋体" w:eastAsia="宋体"/>
        </w:rPr>
        <w:t xml:space="preserve">          公安部网络安全保卫局原副局长</w:t>
      </w:r>
    </w:p>
    <w:p>
      <w:pPr>
        <w:jc w:val="left"/>
        <w:rPr>
          <w:rFonts w:ascii="宋体" w:hAnsi="宋体" w:eastAsia="宋体"/>
        </w:rPr>
      </w:pPr>
      <w:r>
        <w:rPr>
          <w:rFonts w:hint="eastAsia" w:ascii="宋体" w:hAnsi="宋体" w:eastAsia="宋体"/>
        </w:rPr>
        <w:t>陈  钟    北京大学网络和信息安全实验室主任</w:t>
      </w:r>
    </w:p>
    <w:p>
      <w:pPr>
        <w:jc w:val="left"/>
        <w:rPr>
          <w:rFonts w:ascii="宋体" w:hAnsi="宋体" w:eastAsia="宋体"/>
        </w:rPr>
      </w:pPr>
      <w:r>
        <w:rPr>
          <w:rFonts w:hint="eastAsia" w:ascii="宋体" w:hAnsi="宋体" w:eastAsia="宋体"/>
        </w:rPr>
        <w:t>杨建军    中国电子技术标准化研究院副院长</w:t>
      </w:r>
    </w:p>
    <w:p>
      <w:pPr>
        <w:jc w:val="left"/>
        <w:rPr>
          <w:rFonts w:ascii="宋体" w:hAnsi="宋体" w:eastAsia="宋体"/>
        </w:rPr>
      </w:pPr>
      <w:r>
        <w:rPr>
          <w:rFonts w:hint="eastAsia" w:ascii="宋体" w:hAnsi="宋体" w:eastAsia="宋体"/>
        </w:rPr>
        <w:t>陈建民    国家计算机病毒应急处理中心常务副主任</w:t>
      </w:r>
    </w:p>
    <w:p>
      <w:pPr>
        <w:jc w:val="left"/>
        <w:rPr>
          <w:rFonts w:ascii="宋体" w:hAnsi="宋体" w:eastAsia="宋体"/>
        </w:rPr>
      </w:pPr>
      <w:r>
        <w:rPr>
          <w:rFonts w:hint="eastAsia" w:ascii="宋体" w:hAnsi="宋体" w:eastAsia="宋体"/>
        </w:rPr>
        <w:t>宋茂恩    中国互联网协会常务副秘书长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w:t>
      </w:r>
    </w:p>
    <w:p>
      <w:pPr>
        <w:jc w:val="left"/>
        <w:rPr>
          <w:rFonts w:ascii="宋体" w:hAnsi="宋体" w:eastAsia="宋体"/>
        </w:rPr>
      </w:pPr>
      <w:r>
        <w:rPr>
          <w:rFonts w:hint="eastAsia" w:ascii="宋体" w:hAnsi="宋体" w:eastAsia="宋体"/>
        </w:rPr>
        <w:t>黄丽玲    全国信息网络安全协会联盟秘书长</w:t>
      </w:r>
    </w:p>
    <w:p>
      <w:pPr>
        <w:jc w:val="left"/>
        <w:rPr>
          <w:rFonts w:ascii="宋体" w:hAnsi="宋体" w:eastAsia="宋体"/>
        </w:rPr>
      </w:pPr>
      <w:r>
        <w:rPr>
          <w:rFonts w:hint="eastAsia" w:ascii="宋体" w:hAnsi="宋体" w:eastAsia="宋体"/>
        </w:rPr>
        <w:t xml:space="preserve">          广东省网络空间安全协会会长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副秘书长：</w:t>
      </w:r>
    </w:p>
    <w:p>
      <w:pPr>
        <w:ind w:firstLine="364" w:firstLineChars="152"/>
        <w:jc w:val="left"/>
        <w:rPr>
          <w:rFonts w:ascii="宋体" w:hAnsi="宋体" w:eastAsia="宋体"/>
        </w:rPr>
      </w:pPr>
      <w:r>
        <w:rPr>
          <w:rFonts w:hint="eastAsia" w:ascii="宋体" w:hAnsi="宋体" w:eastAsia="宋体"/>
        </w:rPr>
        <w:t xml:space="preserve"> 朱江霞    成都信息网络安全协会会长</w:t>
      </w:r>
    </w:p>
    <w:p>
      <w:pPr>
        <w:jc w:val="left"/>
        <w:rPr>
          <w:rFonts w:ascii="宋体" w:hAnsi="宋体" w:eastAsia="宋体"/>
        </w:rPr>
      </w:pPr>
      <w:r>
        <w:rPr>
          <w:rFonts w:hint="eastAsia" w:ascii="宋体" w:hAnsi="宋体" w:eastAsia="宋体"/>
        </w:rPr>
        <w:t>胡俊涛    郑州市计算机网络安全协会秘书长</w:t>
      </w:r>
    </w:p>
    <w:p>
      <w:pPr>
        <w:jc w:val="left"/>
        <w:rPr>
          <w:rFonts w:ascii="宋体" w:hAnsi="宋体" w:eastAsia="宋体"/>
        </w:rPr>
      </w:pPr>
      <w:r>
        <w:rPr>
          <w:rFonts w:hint="eastAsia" w:ascii="宋体" w:hAnsi="宋体" w:eastAsia="宋体"/>
        </w:rPr>
        <w:t>高  宁    广东新兴国家网络安全和信息化发展研究院总工程师</w:t>
      </w:r>
    </w:p>
    <w:p>
      <w:pPr>
        <w:jc w:val="left"/>
        <w:rPr>
          <w:rFonts w:ascii="宋体" w:hAnsi="宋体" w:eastAsia="宋体"/>
        </w:rPr>
      </w:pPr>
      <w:r>
        <w:rPr>
          <w:rFonts w:hint="eastAsia" w:ascii="宋体" w:hAnsi="宋体" w:eastAsia="宋体"/>
        </w:rPr>
        <w:t xml:space="preserve">张 </w:t>
      </w:r>
      <w:r>
        <w:rPr>
          <w:rFonts w:ascii="宋体" w:hAnsi="宋体" w:eastAsia="宋体"/>
        </w:rPr>
        <w:t xml:space="preserve"> </w:t>
      </w:r>
      <w:r>
        <w:rPr>
          <w:rFonts w:hint="eastAsia" w:ascii="宋体" w:hAnsi="宋体" w:eastAsia="宋体"/>
        </w:rPr>
        <w:t>应    北京关键信息基础设施安全保护中心总工程师</w:t>
      </w:r>
    </w:p>
    <w:p>
      <w:pPr>
        <w:jc w:val="left"/>
        <w:rPr>
          <w:rFonts w:ascii="宋体" w:hAnsi="宋体" w:eastAsia="宋体"/>
        </w:rPr>
      </w:pPr>
      <w:r>
        <w:rPr>
          <w:rFonts w:hint="eastAsia" w:ascii="宋体" w:hAnsi="宋体" w:eastAsia="宋体"/>
        </w:rPr>
        <w:t>郭守祥    北京网络空间安全协会副理事长</w:t>
      </w:r>
    </w:p>
    <w:p>
      <w:pPr>
        <w:jc w:val="left"/>
        <w:rPr>
          <w:rFonts w:ascii="宋体" w:hAnsi="宋体" w:eastAsia="宋体"/>
        </w:rPr>
      </w:pPr>
      <w:r>
        <w:rPr>
          <w:rFonts w:hint="eastAsia" w:ascii="宋体" w:hAnsi="宋体" w:eastAsia="宋体"/>
        </w:rPr>
        <w:t>崔传桢    国家信息中心《信息安全研究》杂志执行主编</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秘书长助理：</w:t>
      </w:r>
    </w:p>
    <w:p>
      <w:pPr>
        <w:jc w:val="left"/>
        <w:rPr>
          <w:rFonts w:ascii="宋体" w:hAnsi="宋体" w:eastAsia="宋体"/>
        </w:rPr>
      </w:pPr>
      <w:r>
        <w:rPr>
          <w:rFonts w:hint="eastAsia" w:ascii="宋体" w:hAnsi="宋体" w:eastAsia="宋体"/>
        </w:rPr>
        <w:t>周贵招    全国信息网络安全协会联盟秘书长助理</w:t>
      </w:r>
    </w:p>
    <w:p>
      <w:pPr>
        <w:jc w:val="left"/>
        <w:rPr>
          <w:rFonts w:ascii="宋体" w:hAnsi="宋体" w:eastAsia="宋体"/>
          <w:b/>
          <w:bCs/>
          <w:color w:val="FF0000"/>
          <w:kern w:val="44"/>
          <w:sz w:val="32"/>
          <w:szCs w:val="32"/>
        </w:rPr>
      </w:pPr>
      <w:r>
        <w:rPr>
          <w:rFonts w:hint="eastAsia" w:ascii="宋体" w:hAnsi="宋体" w:eastAsia="宋体"/>
        </w:rPr>
        <w:t>林小博    北京网络空间安全协会秘书长助理</w:t>
      </w:r>
      <w:r>
        <w:rPr>
          <w:rFonts w:ascii="宋体" w:hAnsi="宋体" w:eastAsia="宋体"/>
          <w:color w:val="FF0000"/>
          <w:sz w:val="32"/>
          <w:szCs w:val="32"/>
        </w:rPr>
        <w:br w:type="page"/>
      </w:r>
    </w:p>
    <w:p>
      <w:pPr>
        <w:pStyle w:val="2"/>
        <w:rPr>
          <w:rFonts w:ascii="宋体" w:hAnsi="宋体" w:eastAsia="宋体"/>
          <w:sz w:val="32"/>
          <w:szCs w:val="32"/>
        </w:rPr>
      </w:pPr>
      <w:bookmarkStart w:id="214" w:name="_Toc31671"/>
      <w:bookmarkStart w:id="215" w:name="_Toc50902730"/>
      <w:r>
        <w:rPr>
          <w:rFonts w:hint="eastAsia" w:ascii="宋体" w:hAnsi="宋体" w:eastAsia="宋体"/>
          <w:sz w:val="32"/>
          <w:szCs w:val="32"/>
        </w:rPr>
        <w:t>附件四：调查活动发起单位及支持单位名单（排名不分先后）</w:t>
      </w:r>
      <w:bookmarkEnd w:id="214"/>
      <w:bookmarkEnd w:id="215"/>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 xml:space="preserve">发 </w:t>
      </w:r>
      <w:r>
        <w:rPr>
          <w:rFonts w:ascii="宋体" w:hAnsi="宋体" w:eastAsia="宋体"/>
          <w:b/>
          <w:bCs/>
          <w:sz w:val="32"/>
          <w:szCs w:val="28"/>
        </w:rPr>
        <w:t xml:space="preserve"> </w:t>
      </w:r>
      <w:r>
        <w:rPr>
          <w:rFonts w:hint="eastAsia" w:ascii="宋体" w:hAnsi="宋体" w:eastAsia="宋体"/>
          <w:b/>
          <w:bCs/>
          <w:sz w:val="32"/>
          <w:szCs w:val="28"/>
        </w:rPr>
        <w:t xml:space="preserve">起 </w:t>
      </w:r>
      <w:r>
        <w:rPr>
          <w:rFonts w:ascii="宋体" w:hAnsi="宋体" w:eastAsia="宋体"/>
          <w:b/>
          <w:bCs/>
          <w:sz w:val="32"/>
          <w:szCs w:val="28"/>
        </w:rPr>
        <w:t xml:space="preserve"> </w:t>
      </w:r>
      <w:r>
        <w:rPr>
          <w:rFonts w:hint="eastAsia" w:ascii="宋体" w:hAnsi="宋体" w:eastAsia="宋体"/>
          <w:b/>
          <w:bCs/>
          <w:sz w:val="32"/>
          <w:szCs w:val="28"/>
        </w:rPr>
        <w:t xml:space="preserve">单 </w:t>
      </w:r>
      <w:r>
        <w:rPr>
          <w:rFonts w:ascii="宋体" w:hAnsi="宋体" w:eastAsia="宋体"/>
          <w:b/>
          <w:bCs/>
          <w:sz w:val="32"/>
          <w:szCs w:val="28"/>
        </w:rPr>
        <w:t xml:space="preserve"> </w:t>
      </w:r>
      <w:r>
        <w:rPr>
          <w:rFonts w:hint="eastAsia" w:ascii="宋体" w:hAnsi="宋体" w:eastAsia="宋体"/>
          <w:b/>
          <w:bCs/>
          <w:sz w:val="32"/>
          <w:szCs w:val="28"/>
        </w:rPr>
        <w:t>位</w:t>
      </w:r>
    </w:p>
    <w:p>
      <w:pPr>
        <w:ind w:firstLine="0" w:firstLineChars="0"/>
        <w:jc w:val="left"/>
        <w:rPr>
          <w:rFonts w:asciiTheme="minorEastAsia" w:hAnsiTheme="minorEastAsia"/>
        </w:rPr>
        <w:sectPr>
          <w:footerReference r:id="rId12"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 北京网络行业协会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 北京网络空间安全协会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 中关村可信计算产业联盟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 中关村网络安全与信息化产业联盟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 中关村信息安全测评联盟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 北京关键信息基础设施安全保护中心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 上海市信息网络安全管理协会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 上海市信息安全行业协会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 天津市网络文化行业协会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 天津市青少年网络协会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 天津市软件行业协会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 天津市互联网协会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 天津市大数据协会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14 重庆市信息安全协会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15 重庆计算机安全学会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16 重庆信息安全产业技术创新联盟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17 重庆市互联网界联合会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18 河北省网络空间安全学会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19 山西省信息网络安全协会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20 山西省互联网协会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21 吉林省信息网络安全协会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22 吉林省信息技术应用协会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23 吉林省电子信息行业联合会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24 吉林省计算机行业商会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25 辽宁省信息网络安全协会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26 辽宁网络安全保障工作联盟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27 黑龙江省网络安全协会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28 黑龙江省旅游产业发展促进会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29 黑龙江省虚拟现实科技学会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30 陕西省信息网络安全协会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31 山东省信息网络安全协会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32 福建省网络与信息安全产业发展促进会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33 浙江省计算机系统安全协会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34 河南省网络营销协会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35 湖北省信息网络安全协会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36 湖北省安全技术防范行业协会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37 湖南省网络空间安全协会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38 江西省网络空间安全协会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39 江苏省信息网络安全协会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40 安徽省计算机网络与信息安全协会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41 广东省计算机信息网络安全协会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42 广东省网络空间安全协会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43 广东关键信息基础设施保护中心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44 广东省电子政务协会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45 广东软件行业协会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46 广东省首席信息官协会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47 广东省版权保护联合会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48 广东省互联网协会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49 广东省信息消费协会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50 广东省图书文化信息协会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51 广东省物联网协会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52 广州市网络安全产业促进会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53 广东省电子信息行业协会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54 海南省计算机学会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55 海南省网络安全协会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56 四川省计算机信息安全行业协会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57 贵州省互联网上网服务行业协会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58 云南省信息安全协会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59 内蒙古自治区网络行业协会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60 宁夏网络与信息安全行业协会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61 广西网络安全协会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62 西藏互联网协会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63 秦皇岛市信息网络安全协会（筹）</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64 长春市计算机信息网络安全协会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65 沈阳市网络安全协会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66 大连市信息网络安全协会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67 渭南市互联网协会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68 榆林市网络安全协会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69 商洛市信息网络安全协会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70 济宁市信息网络安全协会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71 青岛市计算机学会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72 潍坊市网络空间安全协会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73 曲阜市信息网络安全协会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74 聊城市网络空间安全协会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75 郑州市网络安全协会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76 杭州市网络安全协会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77 宁波市计算机信息网络安全协会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78 金华市信息安全协会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79 金华市信息产业协会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80 金华市网商协会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81 丽水市信息网络安全协会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82 温州市软件行业协会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83 洛阳市信息网络安全协会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84 南昌市网络信息安全协会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85 南昌市互联网创业协会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86 扬州市信息网络安全协会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87 连云港市计算机信息网络安全协会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88 南通市信息网络安全协会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89 泰州市信息网络安全协会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90 苏州市互联网协会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91 湘谭市计算机学会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92 长沙市开福区网络安全协会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93 广州市信息网络安全协会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94 广州市信息基础协会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95 广州华南信息安全测评中心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96 深圳市计算机网络公共安全协会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97 深圳市网络与信息安全行业协会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98 佛山市信息协会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99 揭阳网络空间安全协会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100 揭阳市信息技术和软件协会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101 珠海市信息网络安全协会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102 清远市网络安全协会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103 茂名市计算机信息网络安全协会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104 茂名市网络文化协会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105 河源市计算机信息网络安全协会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106 惠州市计算机信息网络安全协会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107 韶关市计算机信息网络安全协会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108 东莞市信息技术联合会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109 肇庆市计算机学会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110 汕尾市计算机学会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111 成都信息网络安全协会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112 成都安全可靠信息技术联合会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113 成都市大数据协会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114 成都物联网产业发展联盟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115 贵阳市信息网络安全协会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116 贵阳市大数据产业协会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117 曲靖市计算机信息网络安全协会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118 玉溪市网络安全协会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119 包头市计算机公共网络安全协会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120 通辽市信息网络安全协会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121 南宁市信息网络安全协会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122 网络安全（天津）检测中心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123 青海省网络与信息安全信息通报中心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124 石河子大学信息科学技术学院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125 宁夏大学信息工程学院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126 重庆信息安全产业研究院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127 甘肃烽侦网络安全研究院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128 广东新兴国家网络安全和信息化发展研究院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129 广东省现代社会评价科学研究院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130 广东中证声像资料司法鉴定所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131 江西中证电子数据司法鉴定中心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132 四川大学信息安全研究所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133 中国计算机学会计算机安全专委会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134 中国联合国采购促进会网信分会</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135 中国文化管理协会网络文化工作委员</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asciiTheme="minorEastAsia" w:hAnsiTheme="minorEastAsia"/>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牵头实施单位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全国信息网络安全协会联盟（网安联）</w:t>
      </w:r>
    </w:p>
    <w:p>
      <w:pPr>
        <w:ind w:firstLine="0" w:firstLineChars="0"/>
        <w:jc w:val="center"/>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承办单位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广东新兴国家网络安全和信息化发展研究院</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技术支撑单位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北京关键信息基础设施安全保护中心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广东关键信息基础设施保护中心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长沙冉星信息科技有限公司（问卷星）</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广东中证声像资料司法鉴定所</w:t>
      </w:r>
    </w:p>
    <w:p>
      <w:pPr>
        <w:ind w:firstLine="0" w:firstLineChars="0"/>
        <w:jc w:val="center"/>
        <w:rPr>
          <w:rFonts w:asciiTheme="minorEastAsia" w:hAnsiTheme="minorEastAsia"/>
          <w:sz w:val="28"/>
          <w:szCs w:val="28"/>
        </w:rPr>
      </w:pPr>
      <w:r>
        <w:rPr>
          <w:rFonts w:hint="eastAsia" w:asciiTheme="minorEastAsia" w:hAnsiTheme="minorEastAsia"/>
          <w:sz w:val="28"/>
          <w:szCs w:val="28"/>
        </w:rPr>
        <w:t>广州华南信息安全测评中心</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部分新闻媒体</w:t>
      </w:r>
    </w:p>
    <w:p>
      <w:pPr>
        <w:ind w:firstLine="560"/>
        <w:jc w:val="left"/>
        <w:rPr>
          <w:rFonts w:asciiTheme="minorEastAsia" w:hAnsiTheme="minorEastAsia"/>
          <w:sz w:val="28"/>
          <w:szCs w:val="28"/>
        </w:rPr>
      </w:pPr>
      <w:r>
        <w:rPr>
          <w:rFonts w:hint="eastAsia" w:asciiTheme="minorEastAsia" w:hAnsiTheme="minorEastAsia"/>
          <w:sz w:val="28"/>
          <w:szCs w:val="28"/>
        </w:rPr>
        <w:t>参与调查活动的中央及各地方媒体、平台，包括且不限于：</w:t>
      </w:r>
    </w:p>
    <w:p>
      <w:pPr>
        <w:ind w:firstLine="0" w:firstLineChars="0"/>
        <w:jc w:val="left"/>
        <w:rPr>
          <w:rFonts w:asciiTheme="minorEastAsia" w:hAnsiTheme="minorEastAsia"/>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8"/>
          <w:szCs w:val="28"/>
        </w:rPr>
      </w:pPr>
      <w:r>
        <w:rPr>
          <w:rFonts w:hint="eastAsia" w:asciiTheme="minorEastAsia" w:hAnsiTheme="minorEastAsia"/>
          <w:sz w:val="28"/>
          <w:szCs w:val="28"/>
        </w:rPr>
        <w:t>中央电视台《社会与法》频道</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《信息安全与通信保密》</w:t>
      </w:r>
    </w:p>
    <w:p>
      <w:pPr>
        <w:ind w:firstLine="0" w:firstLineChars="0"/>
        <w:jc w:val="left"/>
        <w:rPr>
          <w:rFonts w:asciiTheme="minorEastAsia" w:hAnsiTheme="minorEastAsia"/>
          <w:sz w:val="28"/>
          <w:szCs w:val="28"/>
        </w:rPr>
      </w:pPr>
      <w:r>
        <w:rPr>
          <w:rFonts w:hint="eastAsia" w:asciiTheme="minorEastAsia" w:hAnsiTheme="minorEastAsia"/>
          <w:sz w:val="28"/>
          <w:szCs w:val="28"/>
        </w:rPr>
        <w:t>《中国信息安全》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《信息网络安全》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《信息安全研究》</w:t>
      </w:r>
    </w:p>
    <w:p>
      <w:pPr>
        <w:ind w:firstLine="0" w:firstLineChars="0"/>
        <w:jc w:val="left"/>
        <w:rPr>
          <w:rFonts w:asciiTheme="minorEastAsia" w:hAnsiTheme="minorEastAsia"/>
          <w:sz w:val="28"/>
          <w:szCs w:val="28"/>
        </w:rPr>
      </w:pPr>
      <w:r>
        <w:rPr>
          <w:rFonts w:hint="eastAsia" w:asciiTheme="minorEastAsia" w:hAnsiTheme="minorEastAsia"/>
          <w:sz w:val="28"/>
          <w:szCs w:val="28"/>
        </w:rPr>
        <w:t>《警察技术》</w:t>
      </w:r>
    </w:p>
    <w:p>
      <w:pPr>
        <w:ind w:firstLine="0" w:firstLineChars="0"/>
        <w:jc w:val="left"/>
        <w:rPr>
          <w:rFonts w:asciiTheme="minorEastAsia" w:hAnsiTheme="minorEastAsia"/>
          <w:sz w:val="28"/>
          <w:szCs w:val="28"/>
        </w:rPr>
      </w:pPr>
      <w:r>
        <w:rPr>
          <w:rFonts w:hint="eastAsia" w:asciiTheme="minorEastAsia" w:hAnsiTheme="minorEastAsia"/>
          <w:sz w:val="28"/>
          <w:szCs w:val="28"/>
        </w:rPr>
        <w:t>《经济》</w:t>
      </w:r>
    </w:p>
    <w:p>
      <w:pPr>
        <w:ind w:firstLine="0" w:firstLineChars="0"/>
        <w:jc w:val="left"/>
        <w:rPr>
          <w:rFonts w:asciiTheme="minorEastAsia" w:hAnsiTheme="minorEastAsia"/>
          <w:sz w:val="28"/>
          <w:szCs w:val="28"/>
        </w:rPr>
      </w:pPr>
      <w:r>
        <w:rPr>
          <w:rFonts w:hint="eastAsia" w:asciiTheme="minorEastAsia" w:hAnsiTheme="minorEastAsia"/>
          <w:sz w:val="28"/>
          <w:szCs w:val="28"/>
        </w:rPr>
        <w:t>《经济参考报》</w:t>
      </w:r>
    </w:p>
    <w:p>
      <w:pPr>
        <w:ind w:firstLine="0" w:firstLineChars="0"/>
        <w:jc w:val="left"/>
        <w:rPr>
          <w:rFonts w:asciiTheme="minorEastAsia" w:hAnsiTheme="minorEastAsia"/>
          <w:sz w:val="28"/>
          <w:szCs w:val="28"/>
        </w:rPr>
      </w:pPr>
      <w:r>
        <w:rPr>
          <w:rFonts w:hint="eastAsia" w:asciiTheme="minorEastAsia" w:hAnsiTheme="minorEastAsia"/>
          <w:sz w:val="28"/>
          <w:szCs w:val="28"/>
        </w:rPr>
        <w:t>《中国财经论坛》</w:t>
      </w:r>
    </w:p>
    <w:p>
      <w:pPr>
        <w:ind w:firstLine="0" w:firstLineChars="0"/>
        <w:jc w:val="left"/>
        <w:rPr>
          <w:rFonts w:asciiTheme="minorEastAsia" w:hAnsiTheme="minorEastAsia"/>
          <w:sz w:val="28"/>
          <w:szCs w:val="28"/>
        </w:rPr>
      </w:pPr>
      <w:r>
        <w:rPr>
          <w:rFonts w:hint="eastAsia" w:asciiTheme="minorEastAsia" w:hAnsiTheme="minorEastAsia"/>
          <w:sz w:val="28"/>
          <w:szCs w:val="28"/>
        </w:rPr>
        <w:t>《中青报》</w:t>
      </w:r>
    </w:p>
    <w:p>
      <w:pPr>
        <w:ind w:firstLine="0" w:firstLineChars="0"/>
        <w:jc w:val="left"/>
        <w:rPr>
          <w:rFonts w:asciiTheme="minorEastAsia" w:hAnsiTheme="minorEastAsia"/>
          <w:sz w:val="28"/>
          <w:szCs w:val="28"/>
        </w:rPr>
      </w:pPr>
      <w:r>
        <w:rPr>
          <w:rFonts w:hint="eastAsia" w:asciiTheme="minorEastAsia" w:hAnsiTheme="minorEastAsia"/>
          <w:sz w:val="28"/>
          <w:szCs w:val="28"/>
        </w:rPr>
        <w:t>《光明日报》</w:t>
      </w:r>
    </w:p>
    <w:p>
      <w:pPr>
        <w:ind w:firstLine="0" w:firstLineChars="0"/>
        <w:jc w:val="left"/>
        <w:rPr>
          <w:rFonts w:asciiTheme="minorEastAsia" w:hAnsiTheme="minorEastAsia"/>
          <w:sz w:val="28"/>
          <w:szCs w:val="28"/>
        </w:rPr>
      </w:pPr>
      <w:r>
        <w:rPr>
          <w:rFonts w:hint="eastAsia" w:asciiTheme="minorEastAsia" w:hAnsiTheme="minorEastAsia"/>
          <w:sz w:val="28"/>
          <w:szCs w:val="28"/>
        </w:rPr>
        <w:t>《南方都市报》</w:t>
      </w:r>
    </w:p>
    <w:p>
      <w:pPr>
        <w:ind w:firstLine="0" w:firstLineChars="0"/>
        <w:jc w:val="left"/>
        <w:rPr>
          <w:rFonts w:asciiTheme="minorEastAsia" w:hAnsiTheme="minorEastAsia"/>
          <w:sz w:val="28"/>
          <w:szCs w:val="28"/>
        </w:rPr>
      </w:pPr>
      <w:r>
        <w:rPr>
          <w:rFonts w:hint="eastAsia" w:asciiTheme="minorEastAsia" w:hAnsiTheme="minorEastAsia"/>
          <w:sz w:val="28"/>
          <w:szCs w:val="28"/>
        </w:rPr>
        <w:t>人民网</w:t>
      </w:r>
    </w:p>
    <w:p>
      <w:pPr>
        <w:ind w:firstLine="0" w:firstLineChars="0"/>
        <w:jc w:val="left"/>
        <w:rPr>
          <w:rFonts w:asciiTheme="minorEastAsia" w:hAnsiTheme="minorEastAsia"/>
          <w:sz w:val="28"/>
          <w:szCs w:val="28"/>
        </w:rPr>
      </w:pPr>
      <w:r>
        <w:rPr>
          <w:rFonts w:hint="eastAsia" w:asciiTheme="minorEastAsia" w:hAnsiTheme="minorEastAsia"/>
          <w:sz w:val="28"/>
          <w:szCs w:val="28"/>
        </w:rPr>
        <w:t>中国网</w:t>
      </w:r>
    </w:p>
    <w:p>
      <w:pPr>
        <w:ind w:firstLine="0" w:firstLineChars="0"/>
        <w:jc w:val="left"/>
        <w:rPr>
          <w:rFonts w:asciiTheme="minorEastAsia" w:hAnsiTheme="minorEastAsia"/>
          <w:sz w:val="28"/>
          <w:szCs w:val="28"/>
        </w:rPr>
      </w:pPr>
      <w:r>
        <w:rPr>
          <w:rFonts w:hint="eastAsia" w:asciiTheme="minorEastAsia" w:hAnsiTheme="minorEastAsia"/>
          <w:sz w:val="28"/>
          <w:szCs w:val="28"/>
        </w:rPr>
        <w:t>未来网</w:t>
      </w:r>
    </w:p>
    <w:p>
      <w:pPr>
        <w:ind w:firstLine="0" w:firstLineChars="0"/>
        <w:jc w:val="left"/>
        <w:rPr>
          <w:rFonts w:asciiTheme="minorEastAsia" w:hAnsiTheme="minorEastAsia"/>
          <w:sz w:val="28"/>
          <w:szCs w:val="28"/>
        </w:rPr>
      </w:pPr>
      <w:r>
        <w:rPr>
          <w:rFonts w:hint="eastAsia" w:asciiTheme="minorEastAsia" w:hAnsiTheme="minorEastAsia"/>
          <w:sz w:val="28"/>
          <w:szCs w:val="28"/>
        </w:rPr>
        <w:t>环球网</w:t>
      </w:r>
    </w:p>
    <w:p>
      <w:pPr>
        <w:ind w:firstLine="0" w:firstLineChars="0"/>
        <w:jc w:val="left"/>
        <w:rPr>
          <w:rFonts w:asciiTheme="minorEastAsia" w:hAnsiTheme="minorEastAsia"/>
          <w:sz w:val="28"/>
          <w:szCs w:val="28"/>
        </w:rPr>
      </w:pPr>
      <w:r>
        <w:rPr>
          <w:rFonts w:hint="eastAsia" w:asciiTheme="minorEastAsia" w:hAnsiTheme="minorEastAsia"/>
          <w:sz w:val="28"/>
          <w:szCs w:val="28"/>
        </w:rPr>
        <w:t>中青在线</w:t>
      </w:r>
    </w:p>
    <w:p>
      <w:pPr>
        <w:ind w:firstLine="0" w:firstLineChars="0"/>
        <w:jc w:val="left"/>
        <w:rPr>
          <w:rFonts w:asciiTheme="minorEastAsia" w:hAnsiTheme="minorEastAsia"/>
          <w:sz w:val="28"/>
          <w:szCs w:val="28"/>
        </w:rPr>
      </w:pPr>
      <w:r>
        <w:rPr>
          <w:rFonts w:hint="eastAsia" w:asciiTheme="minorEastAsia" w:hAnsiTheme="minorEastAsia"/>
          <w:sz w:val="28"/>
          <w:szCs w:val="28"/>
        </w:rPr>
        <w:t>光明网</w:t>
      </w:r>
    </w:p>
    <w:p>
      <w:pPr>
        <w:ind w:firstLine="0" w:firstLineChars="0"/>
        <w:jc w:val="left"/>
        <w:rPr>
          <w:rFonts w:asciiTheme="minorEastAsia" w:hAnsiTheme="minorEastAsia"/>
          <w:sz w:val="28"/>
          <w:szCs w:val="28"/>
        </w:rPr>
      </w:pPr>
      <w:r>
        <w:rPr>
          <w:rFonts w:hint="eastAsia" w:asciiTheme="minorEastAsia" w:hAnsiTheme="minorEastAsia"/>
          <w:sz w:val="28"/>
          <w:szCs w:val="28"/>
        </w:rPr>
        <w:t>金羊网</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部分支持企业和机构</w:t>
      </w:r>
    </w:p>
    <w:p>
      <w:pPr>
        <w:ind w:firstLine="0" w:firstLineChars="0"/>
        <w:jc w:val="center"/>
        <w:rPr>
          <w:rFonts w:asciiTheme="minorEastAsia" w:hAnsiTheme="minorEastAsia"/>
          <w:b/>
          <w:bCs/>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1"/>
          <w:szCs w:val="21"/>
        </w:rPr>
      </w:pPr>
      <w:r>
        <w:rPr>
          <w:rFonts w:hint="eastAsia" w:asciiTheme="minorEastAsia" w:hAnsiTheme="minorEastAsia"/>
          <w:sz w:val="21"/>
          <w:szCs w:val="21"/>
        </w:rPr>
        <w:t>腾讯</w:t>
      </w:r>
    </w:p>
    <w:p>
      <w:pPr>
        <w:ind w:firstLine="0" w:firstLineChars="0"/>
        <w:jc w:val="left"/>
        <w:rPr>
          <w:rFonts w:asciiTheme="minorEastAsia" w:hAnsiTheme="minorEastAsia"/>
          <w:sz w:val="21"/>
          <w:szCs w:val="21"/>
        </w:rPr>
      </w:pPr>
      <w:r>
        <w:rPr>
          <w:rFonts w:hint="eastAsia" w:asciiTheme="minorEastAsia" w:hAnsiTheme="minorEastAsia"/>
          <w:sz w:val="21"/>
          <w:szCs w:val="21"/>
        </w:rPr>
        <w:t>阿里巴巴</w:t>
      </w:r>
    </w:p>
    <w:p>
      <w:pPr>
        <w:ind w:firstLine="0" w:firstLineChars="0"/>
        <w:jc w:val="left"/>
        <w:rPr>
          <w:rFonts w:asciiTheme="minorEastAsia" w:hAnsiTheme="minorEastAsia"/>
          <w:sz w:val="21"/>
          <w:szCs w:val="21"/>
        </w:rPr>
      </w:pPr>
      <w:r>
        <w:rPr>
          <w:rFonts w:hint="eastAsia" w:asciiTheme="minorEastAsia" w:hAnsiTheme="minorEastAsia"/>
          <w:sz w:val="21"/>
          <w:szCs w:val="21"/>
        </w:rPr>
        <w:t>百度</w:t>
      </w:r>
    </w:p>
    <w:p>
      <w:pPr>
        <w:ind w:firstLine="0" w:firstLineChars="0"/>
        <w:jc w:val="left"/>
        <w:rPr>
          <w:rFonts w:asciiTheme="minorEastAsia" w:hAnsiTheme="minorEastAsia"/>
          <w:sz w:val="21"/>
          <w:szCs w:val="21"/>
        </w:rPr>
      </w:pPr>
      <w:r>
        <w:rPr>
          <w:rFonts w:hint="eastAsia" w:asciiTheme="minorEastAsia" w:hAnsiTheme="minorEastAsia"/>
          <w:sz w:val="21"/>
          <w:szCs w:val="21"/>
        </w:rPr>
        <w:t>网之易</w:t>
      </w:r>
    </w:p>
    <w:p>
      <w:pPr>
        <w:ind w:firstLine="0" w:firstLineChars="0"/>
        <w:jc w:val="left"/>
        <w:rPr>
          <w:rFonts w:asciiTheme="minorEastAsia" w:hAnsiTheme="minorEastAsia"/>
          <w:sz w:val="21"/>
          <w:szCs w:val="21"/>
        </w:rPr>
      </w:pPr>
      <w:r>
        <w:rPr>
          <w:rFonts w:hint="eastAsia" w:asciiTheme="minorEastAsia" w:hAnsiTheme="minorEastAsia"/>
          <w:sz w:val="21"/>
          <w:szCs w:val="21"/>
        </w:rPr>
        <w:t>今日头条</w:t>
      </w:r>
    </w:p>
    <w:p>
      <w:pPr>
        <w:ind w:firstLine="0" w:firstLineChars="0"/>
        <w:jc w:val="left"/>
        <w:rPr>
          <w:rFonts w:asciiTheme="minorEastAsia" w:hAnsiTheme="minorEastAsia"/>
          <w:sz w:val="21"/>
          <w:szCs w:val="21"/>
        </w:rPr>
      </w:pPr>
      <w:r>
        <w:rPr>
          <w:rFonts w:hint="eastAsia" w:asciiTheme="minorEastAsia" w:hAnsiTheme="minorEastAsia"/>
          <w:sz w:val="21"/>
          <w:szCs w:val="21"/>
        </w:rPr>
        <w:t>抖音</w:t>
      </w:r>
    </w:p>
    <w:p>
      <w:pPr>
        <w:ind w:firstLine="0" w:firstLineChars="0"/>
        <w:jc w:val="left"/>
        <w:rPr>
          <w:rFonts w:asciiTheme="minorEastAsia" w:hAnsiTheme="minorEastAsia"/>
          <w:sz w:val="21"/>
          <w:szCs w:val="21"/>
        </w:rPr>
      </w:pPr>
      <w:r>
        <w:rPr>
          <w:rFonts w:hint="eastAsia" w:asciiTheme="minorEastAsia" w:hAnsiTheme="minorEastAsia"/>
          <w:sz w:val="21"/>
          <w:szCs w:val="21"/>
        </w:rPr>
        <w:t>火山小视频</w:t>
      </w:r>
    </w:p>
    <w:p>
      <w:pPr>
        <w:ind w:firstLine="0" w:firstLineChars="0"/>
        <w:jc w:val="left"/>
        <w:rPr>
          <w:rFonts w:asciiTheme="minorEastAsia" w:hAnsiTheme="minorEastAsia"/>
          <w:sz w:val="21"/>
          <w:szCs w:val="21"/>
        </w:rPr>
      </w:pPr>
      <w:r>
        <w:rPr>
          <w:rFonts w:hint="eastAsia" w:asciiTheme="minorEastAsia" w:hAnsiTheme="minorEastAsia"/>
          <w:sz w:val="21"/>
          <w:szCs w:val="21"/>
        </w:rPr>
        <w:t>新浪</w:t>
      </w:r>
    </w:p>
    <w:p>
      <w:pPr>
        <w:ind w:firstLine="0" w:firstLineChars="0"/>
        <w:jc w:val="left"/>
        <w:rPr>
          <w:rFonts w:asciiTheme="minorEastAsia" w:hAnsiTheme="minorEastAsia"/>
          <w:sz w:val="21"/>
          <w:szCs w:val="21"/>
        </w:rPr>
      </w:pPr>
      <w:r>
        <w:rPr>
          <w:rFonts w:hint="eastAsia" w:asciiTheme="minorEastAsia" w:hAnsiTheme="minorEastAsia"/>
          <w:sz w:val="21"/>
          <w:szCs w:val="21"/>
        </w:rPr>
        <w:t>新浪微博</w:t>
      </w:r>
    </w:p>
    <w:p>
      <w:pPr>
        <w:ind w:firstLine="0" w:firstLineChars="0"/>
        <w:jc w:val="left"/>
        <w:rPr>
          <w:rFonts w:asciiTheme="minorEastAsia" w:hAnsiTheme="minorEastAsia"/>
          <w:sz w:val="21"/>
          <w:szCs w:val="21"/>
        </w:rPr>
      </w:pPr>
      <w:r>
        <w:rPr>
          <w:rFonts w:hint="eastAsia" w:asciiTheme="minorEastAsia" w:hAnsiTheme="minorEastAsia"/>
          <w:sz w:val="21"/>
          <w:szCs w:val="21"/>
        </w:rPr>
        <w:t>京东</w:t>
      </w:r>
    </w:p>
    <w:p>
      <w:pPr>
        <w:ind w:firstLine="0" w:firstLineChars="0"/>
        <w:jc w:val="left"/>
        <w:rPr>
          <w:rFonts w:asciiTheme="minorEastAsia" w:hAnsiTheme="minorEastAsia"/>
          <w:sz w:val="21"/>
          <w:szCs w:val="21"/>
        </w:rPr>
      </w:pPr>
      <w:r>
        <w:rPr>
          <w:rFonts w:hint="eastAsia" w:asciiTheme="minorEastAsia" w:hAnsiTheme="minorEastAsia"/>
          <w:sz w:val="21"/>
          <w:szCs w:val="21"/>
        </w:rPr>
        <w:t>美团</w:t>
      </w:r>
    </w:p>
    <w:p>
      <w:pPr>
        <w:ind w:firstLine="0" w:firstLineChars="0"/>
        <w:jc w:val="left"/>
        <w:rPr>
          <w:rFonts w:asciiTheme="minorEastAsia" w:hAnsiTheme="minorEastAsia"/>
          <w:sz w:val="21"/>
          <w:szCs w:val="21"/>
        </w:rPr>
      </w:pPr>
      <w:r>
        <w:rPr>
          <w:rFonts w:hint="eastAsia" w:asciiTheme="minorEastAsia" w:hAnsiTheme="minorEastAsia"/>
          <w:sz w:val="21"/>
          <w:szCs w:val="21"/>
        </w:rPr>
        <w:t>拼多多</w:t>
      </w:r>
    </w:p>
    <w:p>
      <w:pPr>
        <w:ind w:firstLine="0" w:firstLineChars="0"/>
        <w:jc w:val="left"/>
        <w:rPr>
          <w:rFonts w:asciiTheme="minorEastAsia" w:hAnsiTheme="minorEastAsia"/>
          <w:sz w:val="21"/>
          <w:szCs w:val="21"/>
        </w:rPr>
      </w:pPr>
      <w:r>
        <w:rPr>
          <w:rFonts w:hint="eastAsia" w:asciiTheme="minorEastAsia" w:hAnsiTheme="minorEastAsia"/>
          <w:sz w:val="21"/>
          <w:szCs w:val="21"/>
        </w:rPr>
        <w:t>顺丰速运</w:t>
      </w:r>
    </w:p>
    <w:p>
      <w:pPr>
        <w:ind w:firstLine="0" w:firstLineChars="0"/>
        <w:jc w:val="left"/>
        <w:rPr>
          <w:rFonts w:asciiTheme="minorEastAsia" w:hAnsiTheme="minorEastAsia"/>
          <w:sz w:val="21"/>
          <w:szCs w:val="21"/>
        </w:rPr>
      </w:pPr>
      <w:r>
        <w:rPr>
          <w:rFonts w:hint="eastAsia" w:asciiTheme="minorEastAsia" w:hAnsiTheme="minorEastAsia"/>
          <w:sz w:val="21"/>
          <w:szCs w:val="21"/>
        </w:rPr>
        <w:t>苏宁易购</w:t>
      </w:r>
    </w:p>
    <w:p>
      <w:pPr>
        <w:ind w:firstLine="0" w:firstLineChars="0"/>
        <w:jc w:val="left"/>
        <w:rPr>
          <w:rFonts w:asciiTheme="minorEastAsia" w:hAnsiTheme="minorEastAsia"/>
          <w:sz w:val="21"/>
          <w:szCs w:val="21"/>
        </w:rPr>
      </w:pPr>
      <w:r>
        <w:rPr>
          <w:rFonts w:hint="eastAsia" w:asciiTheme="minorEastAsia" w:hAnsiTheme="minorEastAsia"/>
          <w:sz w:val="21"/>
          <w:szCs w:val="21"/>
        </w:rPr>
        <w:t>魅族</w:t>
      </w:r>
    </w:p>
    <w:p>
      <w:pPr>
        <w:ind w:firstLine="0" w:firstLineChars="0"/>
        <w:jc w:val="left"/>
        <w:rPr>
          <w:rFonts w:asciiTheme="minorEastAsia" w:hAnsiTheme="minorEastAsia"/>
          <w:sz w:val="21"/>
          <w:szCs w:val="21"/>
        </w:rPr>
      </w:pPr>
      <w:r>
        <w:rPr>
          <w:rFonts w:hint="eastAsia" w:asciiTheme="minorEastAsia" w:hAnsiTheme="minorEastAsia"/>
          <w:sz w:val="21"/>
          <w:szCs w:val="21"/>
        </w:rPr>
        <w:t>YY直播</w:t>
      </w:r>
    </w:p>
    <w:p>
      <w:pPr>
        <w:ind w:firstLine="0" w:firstLineChars="0"/>
        <w:jc w:val="left"/>
        <w:rPr>
          <w:rFonts w:asciiTheme="minorEastAsia" w:hAnsiTheme="minorEastAsia"/>
          <w:sz w:val="21"/>
          <w:szCs w:val="21"/>
        </w:rPr>
      </w:pPr>
      <w:r>
        <w:rPr>
          <w:rFonts w:hint="eastAsia" w:asciiTheme="minorEastAsia" w:hAnsiTheme="minorEastAsia"/>
          <w:sz w:val="21"/>
          <w:szCs w:val="21"/>
        </w:rPr>
        <w:t>虎牙直播</w:t>
      </w:r>
    </w:p>
    <w:p>
      <w:pPr>
        <w:ind w:firstLine="0" w:firstLineChars="0"/>
        <w:jc w:val="left"/>
        <w:rPr>
          <w:rFonts w:asciiTheme="minorEastAsia" w:hAnsiTheme="minorEastAsia"/>
          <w:sz w:val="21"/>
          <w:szCs w:val="21"/>
        </w:rPr>
      </w:pPr>
      <w:r>
        <w:rPr>
          <w:rFonts w:hint="eastAsia" w:asciiTheme="minorEastAsia" w:hAnsiTheme="minorEastAsia"/>
          <w:sz w:val="21"/>
          <w:szCs w:val="21"/>
        </w:rPr>
        <w:t>斗鱼直播</w:t>
      </w:r>
    </w:p>
    <w:p>
      <w:pPr>
        <w:ind w:firstLine="0" w:firstLineChars="0"/>
        <w:jc w:val="left"/>
        <w:rPr>
          <w:rFonts w:asciiTheme="minorEastAsia" w:hAnsiTheme="minorEastAsia"/>
          <w:sz w:val="21"/>
          <w:szCs w:val="21"/>
        </w:rPr>
      </w:pPr>
      <w:r>
        <w:rPr>
          <w:rFonts w:hint="eastAsia" w:asciiTheme="minorEastAsia" w:hAnsiTheme="minorEastAsia"/>
          <w:sz w:val="21"/>
          <w:szCs w:val="21"/>
        </w:rPr>
        <w:t>花椒直播</w:t>
      </w:r>
    </w:p>
    <w:p>
      <w:pPr>
        <w:ind w:firstLine="0" w:firstLineChars="0"/>
        <w:jc w:val="left"/>
        <w:rPr>
          <w:rFonts w:asciiTheme="minorEastAsia" w:hAnsiTheme="minorEastAsia"/>
          <w:sz w:val="21"/>
          <w:szCs w:val="21"/>
        </w:rPr>
      </w:pPr>
      <w:r>
        <w:rPr>
          <w:rFonts w:hint="eastAsia" w:asciiTheme="minorEastAsia" w:hAnsiTheme="minorEastAsia"/>
          <w:sz w:val="21"/>
          <w:szCs w:val="21"/>
        </w:rPr>
        <w:t>么么直播</w:t>
      </w:r>
    </w:p>
    <w:p>
      <w:pPr>
        <w:ind w:firstLine="0" w:firstLineChars="0"/>
        <w:jc w:val="left"/>
        <w:rPr>
          <w:rFonts w:asciiTheme="minorEastAsia" w:hAnsiTheme="minorEastAsia"/>
          <w:sz w:val="21"/>
          <w:szCs w:val="21"/>
        </w:rPr>
      </w:pPr>
      <w:r>
        <w:rPr>
          <w:rFonts w:hint="eastAsia" w:asciiTheme="minorEastAsia" w:hAnsiTheme="minorEastAsia"/>
          <w:sz w:val="21"/>
          <w:szCs w:val="21"/>
        </w:rPr>
        <w:t>快手直播</w:t>
      </w:r>
    </w:p>
    <w:p>
      <w:pPr>
        <w:ind w:firstLine="0" w:firstLineChars="0"/>
        <w:jc w:val="left"/>
        <w:rPr>
          <w:rFonts w:asciiTheme="minorEastAsia" w:hAnsiTheme="minorEastAsia"/>
          <w:sz w:val="21"/>
          <w:szCs w:val="21"/>
        </w:rPr>
      </w:pPr>
      <w:r>
        <w:rPr>
          <w:rFonts w:hint="eastAsia" w:asciiTheme="minorEastAsia" w:hAnsiTheme="minorEastAsia"/>
          <w:sz w:val="21"/>
          <w:szCs w:val="21"/>
        </w:rPr>
        <w:t>映客直播</w:t>
      </w:r>
    </w:p>
    <w:p>
      <w:pPr>
        <w:ind w:firstLine="0" w:firstLineChars="0"/>
        <w:jc w:val="left"/>
        <w:rPr>
          <w:rFonts w:asciiTheme="minorEastAsia" w:hAnsiTheme="minorEastAsia"/>
          <w:sz w:val="21"/>
          <w:szCs w:val="21"/>
        </w:rPr>
      </w:pPr>
      <w:r>
        <w:rPr>
          <w:rFonts w:hint="eastAsia" w:asciiTheme="minorEastAsia" w:hAnsiTheme="minorEastAsia"/>
          <w:sz w:val="21"/>
          <w:szCs w:val="21"/>
        </w:rPr>
        <w:t>陌陌直播</w:t>
      </w:r>
    </w:p>
    <w:p>
      <w:pPr>
        <w:ind w:firstLine="0" w:firstLineChars="0"/>
        <w:jc w:val="left"/>
        <w:rPr>
          <w:rFonts w:asciiTheme="minorEastAsia" w:hAnsiTheme="minorEastAsia"/>
          <w:sz w:val="21"/>
          <w:szCs w:val="21"/>
        </w:rPr>
      </w:pPr>
      <w:r>
        <w:rPr>
          <w:rFonts w:hint="eastAsia" w:asciiTheme="minorEastAsia" w:hAnsiTheme="minorEastAsia"/>
          <w:sz w:val="21"/>
          <w:szCs w:val="21"/>
        </w:rPr>
        <w:t>酷狗</w:t>
      </w:r>
    </w:p>
    <w:p>
      <w:pPr>
        <w:ind w:firstLine="0" w:firstLineChars="0"/>
        <w:jc w:val="left"/>
        <w:rPr>
          <w:rFonts w:asciiTheme="minorEastAsia" w:hAnsiTheme="minorEastAsia"/>
          <w:sz w:val="21"/>
          <w:szCs w:val="21"/>
        </w:rPr>
      </w:pPr>
      <w:r>
        <w:rPr>
          <w:rFonts w:hint="eastAsia" w:asciiTheme="minorEastAsia" w:hAnsiTheme="minorEastAsia"/>
          <w:sz w:val="21"/>
          <w:szCs w:val="21"/>
        </w:rPr>
        <w:t>迅雷</w:t>
      </w:r>
    </w:p>
    <w:p>
      <w:pPr>
        <w:ind w:firstLine="0" w:firstLineChars="0"/>
        <w:jc w:val="left"/>
        <w:rPr>
          <w:rFonts w:asciiTheme="minorEastAsia" w:hAnsiTheme="minorEastAsia"/>
          <w:sz w:val="21"/>
          <w:szCs w:val="21"/>
        </w:rPr>
      </w:pPr>
      <w:r>
        <w:rPr>
          <w:rFonts w:hint="eastAsia" w:asciiTheme="minorEastAsia" w:hAnsiTheme="minorEastAsia"/>
          <w:sz w:val="21"/>
          <w:szCs w:val="21"/>
        </w:rPr>
        <w:t>TT语音</w:t>
      </w:r>
    </w:p>
    <w:p>
      <w:pPr>
        <w:ind w:firstLine="0" w:firstLineChars="0"/>
        <w:jc w:val="left"/>
        <w:rPr>
          <w:rFonts w:asciiTheme="minorEastAsia" w:hAnsiTheme="minorEastAsia"/>
          <w:sz w:val="21"/>
          <w:szCs w:val="21"/>
        </w:rPr>
      </w:pPr>
      <w:r>
        <w:rPr>
          <w:rFonts w:hint="eastAsia" w:asciiTheme="minorEastAsia" w:hAnsiTheme="minorEastAsia"/>
          <w:sz w:val="21"/>
          <w:szCs w:val="21"/>
        </w:rPr>
        <w:t>Hello语音</w:t>
      </w:r>
    </w:p>
    <w:p>
      <w:pPr>
        <w:ind w:firstLine="0" w:firstLineChars="0"/>
        <w:jc w:val="left"/>
        <w:rPr>
          <w:rFonts w:asciiTheme="minorEastAsia" w:hAnsiTheme="minorEastAsia"/>
          <w:sz w:val="21"/>
          <w:szCs w:val="21"/>
        </w:rPr>
      </w:pPr>
      <w:r>
        <w:rPr>
          <w:rFonts w:hint="eastAsia" w:asciiTheme="minorEastAsia" w:hAnsiTheme="minorEastAsia"/>
          <w:sz w:val="21"/>
          <w:szCs w:val="21"/>
        </w:rPr>
        <w:t>荔枝FM</w:t>
      </w:r>
    </w:p>
    <w:p>
      <w:pPr>
        <w:ind w:firstLine="0" w:firstLineChars="0"/>
        <w:jc w:val="left"/>
        <w:rPr>
          <w:rFonts w:asciiTheme="minorEastAsia" w:hAnsiTheme="minorEastAsia"/>
          <w:sz w:val="21"/>
          <w:szCs w:val="21"/>
        </w:rPr>
      </w:pPr>
      <w:r>
        <w:rPr>
          <w:rFonts w:asciiTheme="minorEastAsia" w:hAnsiTheme="minorEastAsia"/>
          <w:sz w:val="21"/>
          <w:szCs w:val="21"/>
        </w:rPr>
        <w:t>vivo</w:t>
      </w:r>
    </w:p>
    <w:p>
      <w:pPr>
        <w:ind w:firstLine="0" w:firstLineChars="0"/>
        <w:jc w:val="left"/>
        <w:rPr>
          <w:rFonts w:asciiTheme="minorEastAsia" w:hAnsiTheme="minorEastAsia"/>
          <w:sz w:val="21"/>
          <w:szCs w:val="21"/>
        </w:rPr>
      </w:pPr>
      <w:r>
        <w:rPr>
          <w:rFonts w:asciiTheme="minorEastAsia" w:hAnsiTheme="minorEastAsia"/>
          <w:sz w:val="21"/>
          <w:szCs w:val="21"/>
        </w:rPr>
        <w:t>oppo</w:t>
      </w:r>
    </w:p>
    <w:p>
      <w:pPr>
        <w:ind w:firstLine="0" w:firstLineChars="0"/>
        <w:jc w:val="left"/>
        <w:rPr>
          <w:rFonts w:asciiTheme="minorEastAsia" w:hAnsiTheme="minorEastAsia"/>
          <w:sz w:val="21"/>
          <w:szCs w:val="21"/>
        </w:rPr>
      </w:pPr>
      <w:r>
        <w:rPr>
          <w:rFonts w:hint="eastAsia" w:asciiTheme="minorEastAsia" w:hAnsiTheme="minorEastAsia"/>
          <w:sz w:val="21"/>
          <w:szCs w:val="21"/>
        </w:rPr>
        <w:t>金山WPS</w:t>
      </w:r>
    </w:p>
    <w:p>
      <w:pPr>
        <w:ind w:firstLine="0" w:firstLineChars="0"/>
        <w:jc w:val="left"/>
        <w:rPr>
          <w:rFonts w:asciiTheme="minorEastAsia" w:hAnsiTheme="minorEastAsia"/>
          <w:sz w:val="21"/>
          <w:szCs w:val="21"/>
        </w:rPr>
      </w:pPr>
      <w:r>
        <w:rPr>
          <w:rFonts w:hint="eastAsia" w:asciiTheme="minorEastAsia" w:hAnsiTheme="minorEastAsia"/>
          <w:sz w:val="21"/>
          <w:szCs w:val="21"/>
        </w:rPr>
        <w:t>搜狐</w:t>
      </w:r>
    </w:p>
    <w:p>
      <w:pPr>
        <w:ind w:firstLine="0" w:firstLineChars="0"/>
        <w:jc w:val="left"/>
        <w:rPr>
          <w:rFonts w:asciiTheme="minorEastAsia" w:hAnsiTheme="minorEastAsia"/>
          <w:sz w:val="21"/>
          <w:szCs w:val="21"/>
        </w:rPr>
      </w:pPr>
      <w:r>
        <w:rPr>
          <w:rFonts w:hint="eastAsia" w:asciiTheme="minorEastAsia" w:hAnsiTheme="minorEastAsia"/>
          <w:sz w:val="21"/>
          <w:szCs w:val="21"/>
        </w:rPr>
        <w:t>爱奇艺</w:t>
      </w:r>
    </w:p>
    <w:p>
      <w:pPr>
        <w:ind w:firstLine="0" w:firstLineChars="0"/>
        <w:jc w:val="left"/>
        <w:rPr>
          <w:rFonts w:asciiTheme="minorEastAsia" w:hAnsiTheme="minorEastAsia"/>
          <w:sz w:val="21"/>
          <w:szCs w:val="21"/>
        </w:rPr>
      </w:pPr>
      <w:r>
        <w:rPr>
          <w:rFonts w:hint="eastAsia" w:asciiTheme="minorEastAsia" w:hAnsiTheme="minorEastAsia"/>
          <w:sz w:val="21"/>
          <w:szCs w:val="21"/>
        </w:rPr>
        <w:t>哔哩哔哩</w:t>
      </w:r>
    </w:p>
    <w:p>
      <w:pPr>
        <w:ind w:firstLine="0" w:firstLineChars="0"/>
        <w:jc w:val="left"/>
        <w:rPr>
          <w:rFonts w:asciiTheme="minorEastAsia" w:hAnsiTheme="minorEastAsia"/>
          <w:sz w:val="21"/>
          <w:szCs w:val="21"/>
        </w:rPr>
      </w:pPr>
      <w:r>
        <w:rPr>
          <w:rFonts w:asciiTheme="minorEastAsia" w:hAnsiTheme="minorEastAsia"/>
          <w:sz w:val="21"/>
          <w:szCs w:val="21"/>
        </w:rPr>
        <w:t>UC</w:t>
      </w:r>
    </w:p>
    <w:p>
      <w:pPr>
        <w:ind w:firstLine="0" w:firstLineChars="0"/>
        <w:jc w:val="left"/>
        <w:rPr>
          <w:rFonts w:asciiTheme="minorEastAsia" w:hAnsiTheme="minorEastAsia"/>
          <w:sz w:val="21"/>
          <w:szCs w:val="21"/>
        </w:rPr>
      </w:pPr>
      <w:r>
        <w:rPr>
          <w:rFonts w:hint="eastAsia" w:asciiTheme="minorEastAsia" w:hAnsiTheme="minorEastAsia"/>
          <w:sz w:val="21"/>
          <w:szCs w:val="21"/>
        </w:rPr>
        <w:t>嘀嘀</w:t>
      </w:r>
    </w:p>
    <w:p>
      <w:pPr>
        <w:ind w:firstLine="0" w:firstLineChars="0"/>
        <w:jc w:val="left"/>
        <w:rPr>
          <w:rFonts w:asciiTheme="minorEastAsia" w:hAnsiTheme="minorEastAsia"/>
          <w:sz w:val="21"/>
          <w:szCs w:val="21"/>
        </w:rPr>
      </w:pPr>
      <w:r>
        <w:rPr>
          <w:rFonts w:hint="eastAsia" w:asciiTheme="minorEastAsia" w:hAnsiTheme="minorEastAsia"/>
          <w:sz w:val="21"/>
          <w:szCs w:val="21"/>
        </w:rPr>
        <w:t>嘀嗒出行</w:t>
      </w:r>
    </w:p>
    <w:p>
      <w:pPr>
        <w:ind w:firstLine="0" w:firstLineChars="0"/>
        <w:jc w:val="left"/>
        <w:rPr>
          <w:rFonts w:asciiTheme="minorEastAsia" w:hAnsiTheme="minorEastAsia"/>
          <w:sz w:val="21"/>
          <w:szCs w:val="21"/>
        </w:rPr>
      </w:pPr>
      <w:r>
        <w:rPr>
          <w:rFonts w:hint="eastAsia" w:asciiTheme="minorEastAsia" w:hAnsiTheme="minorEastAsia"/>
          <w:sz w:val="21"/>
          <w:szCs w:val="21"/>
        </w:rPr>
        <w:t>UU跑腿</w:t>
      </w:r>
    </w:p>
    <w:p>
      <w:pPr>
        <w:ind w:firstLine="0" w:firstLineChars="0"/>
        <w:jc w:val="left"/>
        <w:rPr>
          <w:rFonts w:asciiTheme="minorEastAsia" w:hAnsiTheme="minorEastAsia"/>
          <w:sz w:val="21"/>
          <w:szCs w:val="21"/>
        </w:rPr>
      </w:pPr>
      <w:r>
        <w:rPr>
          <w:rFonts w:hint="eastAsia" w:asciiTheme="minorEastAsia" w:hAnsiTheme="minorEastAsia"/>
          <w:sz w:val="21"/>
          <w:szCs w:val="21"/>
        </w:rPr>
        <w:t>天盈九州</w:t>
      </w:r>
    </w:p>
    <w:p>
      <w:pPr>
        <w:ind w:firstLine="0" w:firstLineChars="0"/>
        <w:jc w:val="left"/>
        <w:rPr>
          <w:rFonts w:asciiTheme="minorEastAsia" w:hAnsiTheme="minorEastAsia"/>
          <w:sz w:val="21"/>
          <w:szCs w:val="21"/>
        </w:rPr>
      </w:pPr>
      <w:r>
        <w:rPr>
          <w:rFonts w:hint="eastAsia" w:asciiTheme="minorEastAsia" w:hAnsiTheme="minorEastAsia"/>
          <w:sz w:val="21"/>
          <w:szCs w:val="21"/>
        </w:rPr>
        <w:t>贝壳找房</w:t>
      </w:r>
    </w:p>
    <w:p>
      <w:pPr>
        <w:ind w:firstLine="0" w:firstLineChars="0"/>
        <w:jc w:val="left"/>
        <w:rPr>
          <w:rFonts w:asciiTheme="minorEastAsia" w:hAnsiTheme="minorEastAsia"/>
          <w:sz w:val="21"/>
          <w:szCs w:val="21"/>
        </w:rPr>
      </w:pPr>
      <w:r>
        <w:rPr>
          <w:rFonts w:hint="eastAsia" w:asciiTheme="minorEastAsia" w:hAnsiTheme="minorEastAsia"/>
          <w:sz w:val="21"/>
          <w:szCs w:val="21"/>
        </w:rPr>
        <w:t>房天下</w:t>
      </w:r>
    </w:p>
    <w:p>
      <w:pPr>
        <w:ind w:firstLine="0" w:firstLineChars="0"/>
        <w:jc w:val="left"/>
        <w:rPr>
          <w:rFonts w:asciiTheme="minorEastAsia" w:hAnsiTheme="minorEastAsia"/>
          <w:sz w:val="21"/>
          <w:szCs w:val="21"/>
        </w:rPr>
      </w:pPr>
      <w:r>
        <w:rPr>
          <w:rFonts w:hint="eastAsia" w:asciiTheme="minorEastAsia" w:hAnsiTheme="minorEastAsia"/>
          <w:sz w:val="21"/>
          <w:szCs w:val="21"/>
        </w:rPr>
        <w:t>Q房网</w:t>
      </w:r>
    </w:p>
    <w:p>
      <w:pPr>
        <w:ind w:firstLine="0" w:firstLineChars="0"/>
        <w:jc w:val="left"/>
        <w:rPr>
          <w:rFonts w:asciiTheme="minorEastAsia" w:hAnsiTheme="minorEastAsia"/>
          <w:sz w:val="21"/>
          <w:szCs w:val="21"/>
        </w:rPr>
      </w:pPr>
      <w:r>
        <w:rPr>
          <w:rFonts w:hint="eastAsia" w:asciiTheme="minorEastAsia" w:hAnsiTheme="minorEastAsia"/>
          <w:sz w:val="21"/>
          <w:szCs w:val="21"/>
        </w:rPr>
        <w:t>一起住好房</w:t>
      </w:r>
    </w:p>
    <w:p>
      <w:pPr>
        <w:ind w:firstLine="0" w:firstLineChars="0"/>
        <w:jc w:val="left"/>
        <w:rPr>
          <w:rFonts w:asciiTheme="minorEastAsia" w:hAnsiTheme="minorEastAsia"/>
          <w:sz w:val="21"/>
          <w:szCs w:val="21"/>
        </w:rPr>
      </w:pPr>
      <w:r>
        <w:rPr>
          <w:rFonts w:hint="eastAsia" w:asciiTheme="minorEastAsia" w:hAnsiTheme="minorEastAsia"/>
          <w:sz w:val="21"/>
          <w:szCs w:val="21"/>
        </w:rPr>
        <w:t>瓜子二手车</w:t>
      </w:r>
    </w:p>
    <w:p>
      <w:pPr>
        <w:ind w:firstLine="0" w:firstLineChars="0"/>
        <w:jc w:val="left"/>
        <w:rPr>
          <w:rFonts w:asciiTheme="minorEastAsia" w:hAnsiTheme="minorEastAsia"/>
          <w:sz w:val="21"/>
          <w:szCs w:val="21"/>
        </w:rPr>
      </w:pPr>
      <w:r>
        <w:rPr>
          <w:rFonts w:hint="eastAsia" w:asciiTheme="minorEastAsia" w:hAnsiTheme="minorEastAsia"/>
          <w:sz w:val="21"/>
          <w:szCs w:val="21"/>
        </w:rPr>
        <w:t>酷溜网</w:t>
      </w:r>
    </w:p>
    <w:p>
      <w:pPr>
        <w:ind w:firstLine="0" w:firstLineChars="0"/>
        <w:jc w:val="left"/>
        <w:rPr>
          <w:rFonts w:asciiTheme="minorEastAsia" w:hAnsiTheme="minorEastAsia"/>
          <w:sz w:val="21"/>
          <w:szCs w:val="21"/>
        </w:rPr>
      </w:pPr>
      <w:r>
        <w:rPr>
          <w:rFonts w:hint="eastAsia" w:asciiTheme="minorEastAsia" w:hAnsiTheme="minorEastAsia"/>
          <w:sz w:val="21"/>
          <w:szCs w:val="21"/>
        </w:rPr>
        <w:t>珍爱网</w:t>
      </w:r>
    </w:p>
    <w:p>
      <w:pPr>
        <w:ind w:firstLine="0" w:firstLineChars="0"/>
        <w:jc w:val="left"/>
        <w:rPr>
          <w:rFonts w:asciiTheme="minorEastAsia" w:hAnsiTheme="minorEastAsia"/>
          <w:sz w:val="21"/>
          <w:szCs w:val="21"/>
        </w:rPr>
      </w:pPr>
      <w:r>
        <w:rPr>
          <w:rFonts w:hint="eastAsia" w:asciiTheme="minorEastAsia" w:hAnsiTheme="minorEastAsia"/>
          <w:sz w:val="21"/>
          <w:szCs w:val="21"/>
        </w:rPr>
        <w:t>完美世界</w:t>
      </w:r>
    </w:p>
    <w:p>
      <w:pPr>
        <w:ind w:firstLine="0" w:firstLineChars="0"/>
        <w:jc w:val="left"/>
        <w:rPr>
          <w:rFonts w:asciiTheme="minorEastAsia" w:hAnsiTheme="minorEastAsia"/>
          <w:sz w:val="21"/>
          <w:szCs w:val="21"/>
        </w:rPr>
      </w:pPr>
      <w:r>
        <w:rPr>
          <w:rFonts w:hint="eastAsia" w:asciiTheme="minorEastAsia" w:hAnsiTheme="minorEastAsia"/>
          <w:sz w:val="21"/>
          <w:szCs w:val="21"/>
        </w:rPr>
        <w:t>一点资讯</w:t>
      </w:r>
    </w:p>
    <w:p>
      <w:pPr>
        <w:ind w:firstLine="0" w:firstLineChars="0"/>
        <w:jc w:val="left"/>
        <w:rPr>
          <w:rFonts w:asciiTheme="minorEastAsia" w:hAnsiTheme="minorEastAsia"/>
          <w:sz w:val="21"/>
          <w:szCs w:val="21"/>
        </w:rPr>
      </w:pPr>
      <w:r>
        <w:rPr>
          <w:rFonts w:hint="eastAsia" w:asciiTheme="minorEastAsia" w:hAnsiTheme="minorEastAsia"/>
          <w:sz w:val="21"/>
          <w:szCs w:val="21"/>
        </w:rPr>
        <w:t>优贝在线</w:t>
      </w:r>
    </w:p>
    <w:p>
      <w:pPr>
        <w:ind w:firstLine="0" w:firstLineChars="0"/>
        <w:jc w:val="left"/>
        <w:rPr>
          <w:rFonts w:asciiTheme="minorEastAsia" w:hAnsiTheme="minorEastAsia"/>
          <w:sz w:val="21"/>
          <w:szCs w:val="21"/>
        </w:rPr>
      </w:pPr>
      <w:r>
        <w:rPr>
          <w:rFonts w:hint="eastAsia" w:asciiTheme="minorEastAsia" w:hAnsiTheme="minorEastAsia"/>
          <w:sz w:val="21"/>
          <w:szCs w:val="21"/>
        </w:rPr>
        <w:t>智联招聘</w:t>
      </w:r>
    </w:p>
    <w:p>
      <w:pPr>
        <w:ind w:firstLine="0" w:firstLineChars="0"/>
        <w:jc w:val="left"/>
        <w:rPr>
          <w:rFonts w:asciiTheme="minorEastAsia" w:hAnsiTheme="minorEastAsia"/>
          <w:sz w:val="21"/>
          <w:szCs w:val="21"/>
        </w:rPr>
      </w:pPr>
      <w:r>
        <w:rPr>
          <w:rFonts w:hint="eastAsia" w:asciiTheme="minorEastAsia" w:hAnsiTheme="minorEastAsia"/>
          <w:sz w:val="21"/>
          <w:szCs w:val="21"/>
        </w:rPr>
        <w:t>奇虎360</w:t>
      </w:r>
    </w:p>
    <w:p>
      <w:pPr>
        <w:ind w:firstLine="0" w:firstLineChars="0"/>
        <w:jc w:val="left"/>
        <w:rPr>
          <w:rFonts w:asciiTheme="minorEastAsia" w:hAnsiTheme="minorEastAsia"/>
          <w:sz w:val="21"/>
          <w:szCs w:val="21"/>
        </w:rPr>
      </w:pPr>
      <w:r>
        <w:rPr>
          <w:rFonts w:hint="eastAsia" w:asciiTheme="minorEastAsia" w:hAnsiTheme="minorEastAsia"/>
          <w:sz w:val="21"/>
          <w:szCs w:val="21"/>
        </w:rPr>
        <w:t>绿盟</w:t>
      </w:r>
    </w:p>
    <w:p>
      <w:pPr>
        <w:ind w:firstLine="0" w:firstLineChars="0"/>
        <w:jc w:val="left"/>
        <w:rPr>
          <w:rFonts w:asciiTheme="minorEastAsia" w:hAnsiTheme="minorEastAsia"/>
          <w:sz w:val="21"/>
          <w:szCs w:val="21"/>
        </w:rPr>
      </w:pPr>
      <w:r>
        <w:rPr>
          <w:rFonts w:hint="eastAsia" w:asciiTheme="minorEastAsia" w:hAnsiTheme="minorEastAsia"/>
          <w:sz w:val="21"/>
          <w:szCs w:val="21"/>
        </w:rPr>
        <w:t>亚信安全</w:t>
      </w:r>
    </w:p>
    <w:p>
      <w:pPr>
        <w:ind w:firstLine="0" w:firstLineChars="0"/>
        <w:jc w:val="left"/>
        <w:rPr>
          <w:rFonts w:asciiTheme="minorEastAsia" w:hAnsiTheme="minorEastAsia"/>
          <w:sz w:val="21"/>
          <w:szCs w:val="21"/>
        </w:rPr>
      </w:pPr>
      <w:r>
        <w:rPr>
          <w:rFonts w:hint="eastAsia" w:asciiTheme="minorEastAsia" w:hAnsiTheme="minorEastAsia"/>
          <w:sz w:val="21"/>
          <w:szCs w:val="21"/>
        </w:rPr>
        <w:t>奇安信</w:t>
      </w:r>
    </w:p>
    <w:p>
      <w:pPr>
        <w:ind w:firstLine="0" w:firstLineChars="0"/>
        <w:jc w:val="left"/>
        <w:rPr>
          <w:rFonts w:asciiTheme="minorEastAsia" w:hAnsiTheme="minorEastAsia"/>
          <w:sz w:val="21"/>
          <w:szCs w:val="21"/>
        </w:rPr>
      </w:pPr>
      <w:r>
        <w:rPr>
          <w:rFonts w:hint="eastAsia" w:asciiTheme="minorEastAsia" w:hAnsiTheme="minorEastAsia"/>
          <w:sz w:val="21"/>
          <w:szCs w:val="21"/>
        </w:rPr>
        <w:t>安恒</w:t>
      </w:r>
    </w:p>
    <w:p>
      <w:pPr>
        <w:ind w:firstLine="0" w:firstLineChars="0"/>
        <w:jc w:val="left"/>
        <w:rPr>
          <w:rFonts w:asciiTheme="minorEastAsia" w:hAnsiTheme="minorEastAsia"/>
          <w:sz w:val="21"/>
          <w:szCs w:val="21"/>
        </w:rPr>
      </w:pPr>
      <w:r>
        <w:rPr>
          <w:rFonts w:hint="eastAsia" w:asciiTheme="minorEastAsia" w:hAnsiTheme="minorEastAsia"/>
          <w:sz w:val="21"/>
          <w:szCs w:val="21"/>
        </w:rPr>
        <w:t>任子行</w:t>
      </w:r>
    </w:p>
    <w:p>
      <w:pPr>
        <w:ind w:firstLine="0" w:firstLineChars="0"/>
        <w:jc w:val="left"/>
        <w:rPr>
          <w:rFonts w:asciiTheme="minorEastAsia" w:hAnsiTheme="minorEastAsia"/>
          <w:sz w:val="21"/>
          <w:szCs w:val="21"/>
        </w:rPr>
      </w:pPr>
      <w:r>
        <w:rPr>
          <w:rFonts w:hint="eastAsia" w:asciiTheme="minorEastAsia" w:hAnsiTheme="minorEastAsia"/>
          <w:sz w:val="21"/>
          <w:szCs w:val="21"/>
        </w:rPr>
        <w:t>天融信</w:t>
      </w:r>
    </w:p>
    <w:p>
      <w:pPr>
        <w:ind w:firstLine="0" w:firstLineChars="0"/>
        <w:jc w:val="left"/>
        <w:rPr>
          <w:rFonts w:asciiTheme="minorEastAsia" w:hAnsiTheme="minorEastAsia"/>
          <w:sz w:val="21"/>
          <w:szCs w:val="21"/>
        </w:rPr>
      </w:pPr>
      <w:r>
        <w:rPr>
          <w:rFonts w:hint="eastAsia" w:asciiTheme="minorEastAsia" w:hAnsiTheme="minorEastAsia"/>
          <w:sz w:val="21"/>
          <w:szCs w:val="21"/>
        </w:rPr>
        <w:t>新华三</w:t>
      </w:r>
    </w:p>
    <w:p>
      <w:pPr>
        <w:ind w:firstLine="0" w:firstLineChars="0"/>
        <w:jc w:val="left"/>
        <w:rPr>
          <w:rFonts w:asciiTheme="minorEastAsia" w:hAnsiTheme="minorEastAsia"/>
          <w:sz w:val="21"/>
          <w:szCs w:val="21"/>
        </w:rPr>
      </w:pPr>
      <w:r>
        <w:rPr>
          <w:rFonts w:hint="eastAsia" w:asciiTheme="minorEastAsia" w:hAnsiTheme="minorEastAsia"/>
          <w:sz w:val="21"/>
          <w:szCs w:val="21"/>
        </w:rPr>
        <w:t>圣博润</w:t>
      </w:r>
    </w:p>
    <w:p>
      <w:pPr>
        <w:ind w:firstLine="0" w:firstLineChars="0"/>
        <w:jc w:val="left"/>
        <w:rPr>
          <w:rFonts w:asciiTheme="minorEastAsia" w:hAnsiTheme="minorEastAsia"/>
          <w:sz w:val="21"/>
          <w:szCs w:val="21"/>
        </w:rPr>
      </w:pPr>
      <w:r>
        <w:rPr>
          <w:rFonts w:hint="eastAsia" w:asciiTheme="minorEastAsia" w:hAnsiTheme="minorEastAsia"/>
          <w:sz w:val="21"/>
          <w:szCs w:val="21"/>
        </w:rPr>
        <w:t>炫音网络</w:t>
      </w:r>
    </w:p>
    <w:p>
      <w:pPr>
        <w:ind w:firstLine="0" w:firstLineChars="0"/>
        <w:jc w:val="left"/>
        <w:rPr>
          <w:rFonts w:asciiTheme="minorEastAsia" w:hAnsiTheme="minorEastAsia"/>
          <w:sz w:val="21"/>
          <w:szCs w:val="21"/>
        </w:rPr>
      </w:pPr>
      <w:r>
        <w:rPr>
          <w:rFonts w:hint="eastAsia" w:asciiTheme="minorEastAsia" w:hAnsiTheme="minorEastAsia"/>
          <w:sz w:val="21"/>
          <w:szCs w:val="21"/>
        </w:rPr>
        <w:t>友迪资讯</w:t>
      </w:r>
    </w:p>
    <w:p>
      <w:pPr>
        <w:ind w:firstLine="0" w:firstLineChars="0"/>
        <w:jc w:val="left"/>
        <w:rPr>
          <w:rFonts w:asciiTheme="minorEastAsia" w:hAnsiTheme="minorEastAsia"/>
          <w:sz w:val="21"/>
          <w:szCs w:val="21"/>
        </w:rPr>
      </w:pPr>
      <w:r>
        <w:rPr>
          <w:rFonts w:hint="eastAsia" w:asciiTheme="minorEastAsia" w:hAnsiTheme="minorEastAsia"/>
          <w:sz w:val="21"/>
          <w:szCs w:val="21"/>
        </w:rPr>
        <w:t>远光软件</w:t>
      </w:r>
    </w:p>
    <w:p>
      <w:pPr>
        <w:ind w:firstLine="0" w:firstLineChars="0"/>
        <w:jc w:val="left"/>
        <w:rPr>
          <w:rFonts w:asciiTheme="minorEastAsia" w:hAnsiTheme="minorEastAsia"/>
          <w:sz w:val="21"/>
          <w:szCs w:val="21"/>
        </w:rPr>
      </w:pPr>
      <w:r>
        <w:rPr>
          <w:rFonts w:hint="eastAsia" w:asciiTheme="minorEastAsia" w:hAnsiTheme="minorEastAsia"/>
          <w:sz w:val="21"/>
          <w:szCs w:val="21"/>
        </w:rPr>
        <w:t>国网思极网安科技（北京）有限公司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合肥天帷信息安全技术技术有限公司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辽宁浪潮创新信息技术有限公司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深圳市易图资讯股份有限公司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深圳市中手游网络科技有限公司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广州艾媒数聚信息咨询股份有限公司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韶关家园传媒有限公司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广东米果传媒有限公司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茂名市群英网络有限公司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广东力通网络科技有限公司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广州九尾信息科技有限公司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东莞市阳光网络信息有限公司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有米科技股份有限公司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全通教育集团（广东）股份有限公司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广东能龙教育股份有限公司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中山市读书郎电子有限公司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东方财富信息股份有限公司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上海基分文化传播有限公司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上海寻梦信息技术有限公司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上海喜马拉雅网络科技有限公司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万达信息股份有限公司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上海观安信息技术股份有限公司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行吟信息科技（上海）有限公司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上海浦东软件平台有限公司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上海纽盾科技股份有限公司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上海阅文信息技术有限公司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波克科技股份有限公司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上海景域文化传播有限公司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上海星艾网络科技有限公司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上海霆懋科技服务有限公司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上海东方网股份有限公司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上海安阖在创信息科技有限公司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上海兴动实业有限公司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上海谋乐网络科技有限公司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上海驭胜信息技术有限公司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上海御盾信息科技有限公司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上海成蹊信息科技有限公司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杭州米络科技有限公司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北京小唱科技有限公司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北京和讯在线信息咨询服务有限公司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北京光宇在线科技有限责任公司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北京球秘科技有限公司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北京卓越晨星科技有限公司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北京白鹭世纪科技股份有限公司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北京邦得鼎盛科技有限公司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北京智启蓝墨信息技术有限公司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北京瓦力网络科技有限公司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北京文网亿联科技有限公司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北京中润互联信息技术有限公司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北京思享时光科技有限公司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盐城市鹤鸣亭传媒股份有限公司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常州大学常州信息工程学院</w:t>
      </w:r>
    </w:p>
    <w:p>
      <w:pPr>
        <w:ind w:firstLine="0" w:firstLineChars="0"/>
        <w:jc w:val="left"/>
        <w:rPr>
          <w:rFonts w:asciiTheme="minorEastAsia" w:hAnsiTheme="minorEastAsia"/>
          <w:sz w:val="21"/>
          <w:szCs w:val="21"/>
        </w:rPr>
      </w:pPr>
      <w:r>
        <w:rPr>
          <w:rFonts w:hint="eastAsia" w:asciiTheme="minorEastAsia" w:hAnsiTheme="minorEastAsia"/>
          <w:sz w:val="21"/>
          <w:szCs w:val="21"/>
        </w:rPr>
        <w:t>常州经开区今创集团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江苏翠起信息科技有限公司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四川安洵信息技术有限公司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四川麻辣社区网络传媒有限公司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成都思维世纪科技有限责任公司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北京智游网安科技有限公司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成都创信华通信息技术有限公司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成都西维数码科技有限公司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成都市锐信安信息安全技术有限公司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成都安美勤信息技术股份有限公司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成都吉胜科技有限责任公司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亚信科技（成都）有限公司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成都卫士通信息产业股份有限公司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内蒙古信元网络安全技术股份有限公司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黑龙江安信与诚科技开发有限公司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黑龙江亿林网络股份有限公司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哈尔滨安天科技集团股份有限公司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哈尔滨蓝易科技有限公司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哈尔滨创新远航科技有限公司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武汉市多比特信息科技有限公司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武汉楚天优游网络科技有限公司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湖北盛天网络技术股份有限公司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安域等保测评公司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贵阳金蜂星际网络科技有限公司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贵州盛世合元科技发展有限公司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贵州数博谷信息技术有限责任公司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贵阳宏图科技有限公司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大连海川云天信息科技有限公司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中冶葫芦岛有色金属集团有限公司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海城金航网络科技有限公司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浪潮创新科技股份有限公司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辽宁北方实验室有限公司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重庆智多信息发展有限公司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重庆跃动网络技术有限公司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重庆猪八戒网络有限公司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南省鼎信信息安全等级测评有限公司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上海云辰信息科技有限公司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珠海网博信息科技股份有限公司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江苏国瑞信安科技有限公司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浙江佰安信息科技有限公司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杭州世平信息科技有限公司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湖南红网新媒体集团有限公司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福建国科信息科技有限公司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福州物联网开放实验室有限公司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福州闽盾网络与信息安全测评技术有限公司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中科锐眼（天津）科技有限公司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清众鑫科技有限公司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大同市利伟科技有限公司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大同市华立科技有限责任公司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山西联创电子信息技术有限公司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山西晋城无烟煤矿业集团有限责任公司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山西兰花科技创业股份有限公司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晋城市天狐网络信息有限公司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中创慧安科技有限公司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因弗美讯科技有限公司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上海交通大学党委宣传部</w:t>
      </w:r>
    </w:p>
    <w:p>
      <w:pPr>
        <w:ind w:firstLine="0" w:firstLineChars="0"/>
        <w:jc w:val="left"/>
        <w:rPr>
          <w:rFonts w:asciiTheme="minorEastAsia" w:hAnsiTheme="minorEastAsia"/>
          <w:sz w:val="21"/>
          <w:szCs w:val="21"/>
        </w:rPr>
      </w:pPr>
      <w:r>
        <w:rPr>
          <w:rFonts w:hint="eastAsia" w:asciiTheme="minorEastAsia" w:hAnsiTheme="minorEastAsia"/>
          <w:sz w:val="21"/>
          <w:szCs w:val="21"/>
        </w:rPr>
        <w:t>天津市教育委员会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宿迁市教育局</w:t>
      </w:r>
    </w:p>
    <w:p>
      <w:pPr>
        <w:ind w:firstLine="0" w:firstLineChars="0"/>
        <w:jc w:val="left"/>
        <w:rPr>
          <w:rFonts w:asciiTheme="minorEastAsia" w:hAnsiTheme="minorEastAsia"/>
          <w:sz w:val="21"/>
          <w:szCs w:val="21"/>
        </w:rPr>
      </w:pPr>
      <w:r>
        <w:rPr>
          <w:rFonts w:hint="eastAsia" w:asciiTheme="minorEastAsia" w:hAnsiTheme="minorEastAsia"/>
          <w:sz w:val="21"/>
          <w:szCs w:val="21"/>
        </w:rPr>
        <w:t>无锡市卫生健康委员会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内蒙古税务局</w:t>
      </w:r>
    </w:p>
    <w:p>
      <w:pPr>
        <w:ind w:firstLine="0" w:firstLineChars="0"/>
        <w:jc w:val="left"/>
        <w:rPr>
          <w:rFonts w:asciiTheme="minorEastAsia" w:hAnsiTheme="minorEastAsia"/>
          <w:sz w:val="21"/>
          <w:szCs w:val="21"/>
        </w:rPr>
      </w:pPr>
      <w:r>
        <w:rPr>
          <w:rFonts w:hint="eastAsia" w:asciiTheme="minorEastAsia" w:hAnsiTheme="minorEastAsia"/>
          <w:sz w:val="21"/>
          <w:szCs w:val="21"/>
        </w:rPr>
        <w:t>国家计算机网络应急技术处理协调中心上海分中心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上海市网络技术综合应用研究所</w:t>
      </w:r>
    </w:p>
    <w:p>
      <w:pPr>
        <w:ind w:firstLine="0" w:firstLineChars="0"/>
        <w:jc w:val="left"/>
        <w:rPr>
          <w:rFonts w:asciiTheme="minorEastAsia" w:hAnsiTheme="minorEastAsia"/>
          <w:sz w:val="21"/>
          <w:szCs w:val="21"/>
        </w:rPr>
      </w:pPr>
      <w:r>
        <w:rPr>
          <w:rFonts w:hint="eastAsia" w:asciiTheme="minorEastAsia" w:hAnsiTheme="minorEastAsia"/>
          <w:sz w:val="21"/>
          <w:szCs w:val="21"/>
        </w:rPr>
        <w:t>上海计算机软件技术开发中心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中国民航大学信息安全测评中心</w:t>
      </w:r>
    </w:p>
    <w:p>
      <w:pPr>
        <w:ind w:firstLine="0" w:firstLineChars="0"/>
        <w:jc w:val="left"/>
        <w:rPr>
          <w:rFonts w:asciiTheme="minorEastAsia" w:hAnsiTheme="minorEastAsia"/>
          <w:sz w:val="21"/>
          <w:szCs w:val="21"/>
        </w:rPr>
      </w:pPr>
      <w:r>
        <w:rPr>
          <w:rFonts w:hint="eastAsia" w:asciiTheme="minorEastAsia" w:hAnsiTheme="minorEastAsia"/>
          <w:sz w:val="21"/>
          <w:szCs w:val="21"/>
        </w:rPr>
        <w:t>广东警官学院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广东轻工业职业技术学院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广东金融学院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广州大学研究院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江苏科技大学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江苏大学</w:t>
      </w:r>
    </w:p>
    <w:p>
      <w:pPr>
        <w:ind w:firstLine="0" w:firstLineChars="0"/>
        <w:jc w:val="left"/>
        <w:rPr>
          <w:rFonts w:asciiTheme="minorEastAsia" w:hAnsiTheme="minorEastAsia"/>
          <w:sz w:val="21"/>
          <w:szCs w:val="21"/>
        </w:rPr>
      </w:pPr>
      <w:r>
        <w:rPr>
          <w:rFonts w:hint="eastAsia" w:asciiTheme="minorEastAsia" w:hAnsiTheme="minorEastAsia"/>
          <w:sz w:val="21"/>
          <w:szCs w:val="21"/>
        </w:rPr>
        <w:t>宿迁学院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江苏省宿迁中学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建湖高级中学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建湖县第二中学</w:t>
      </w:r>
    </w:p>
    <w:p>
      <w:pPr>
        <w:ind w:firstLine="0" w:firstLineChars="0"/>
        <w:jc w:val="left"/>
        <w:rPr>
          <w:rFonts w:asciiTheme="minorEastAsia" w:hAnsiTheme="minorEastAsia"/>
          <w:sz w:val="21"/>
          <w:szCs w:val="21"/>
        </w:rPr>
      </w:pPr>
      <w:r>
        <w:rPr>
          <w:rFonts w:hint="eastAsia" w:asciiTheme="minorEastAsia" w:hAnsiTheme="minorEastAsia"/>
          <w:sz w:val="21"/>
          <w:szCs w:val="21"/>
        </w:rPr>
        <w:t>西华大学</w:t>
      </w:r>
    </w:p>
    <w:p>
      <w:pPr>
        <w:ind w:firstLine="0" w:firstLineChars="0"/>
        <w:jc w:val="left"/>
        <w:rPr>
          <w:rFonts w:asciiTheme="minorEastAsia" w:hAnsiTheme="minorEastAsia"/>
          <w:sz w:val="21"/>
          <w:szCs w:val="21"/>
        </w:rPr>
      </w:pPr>
      <w:r>
        <w:rPr>
          <w:rFonts w:hint="eastAsia" w:asciiTheme="minorEastAsia" w:hAnsiTheme="minorEastAsia"/>
          <w:sz w:val="21"/>
          <w:szCs w:val="21"/>
        </w:rPr>
        <w:t>吉利学院</w:t>
      </w:r>
    </w:p>
    <w:p>
      <w:pPr>
        <w:ind w:firstLine="0" w:firstLineChars="0"/>
        <w:jc w:val="left"/>
        <w:rPr>
          <w:rFonts w:asciiTheme="minorEastAsia" w:hAnsiTheme="minorEastAsia"/>
          <w:sz w:val="21"/>
          <w:szCs w:val="21"/>
        </w:rPr>
      </w:pPr>
      <w:r>
        <w:rPr>
          <w:rFonts w:hint="eastAsia" w:asciiTheme="minorEastAsia" w:hAnsiTheme="minorEastAsia"/>
          <w:sz w:val="21"/>
          <w:szCs w:val="21"/>
        </w:rPr>
        <w:t>电子科技大学成都学院</w:t>
      </w:r>
    </w:p>
    <w:p>
      <w:pPr>
        <w:ind w:firstLine="0" w:firstLineChars="0"/>
        <w:jc w:val="left"/>
        <w:rPr>
          <w:rFonts w:asciiTheme="minorEastAsia" w:hAnsiTheme="minorEastAsia"/>
          <w:sz w:val="21"/>
          <w:szCs w:val="21"/>
        </w:rPr>
      </w:pPr>
      <w:r>
        <w:rPr>
          <w:rFonts w:hint="eastAsia" w:asciiTheme="minorEastAsia" w:hAnsiTheme="minorEastAsia"/>
          <w:sz w:val="21"/>
          <w:szCs w:val="21"/>
        </w:rPr>
        <w:t>普宁职业技术学校</w:t>
      </w:r>
    </w:p>
    <w:p>
      <w:pPr>
        <w:ind w:firstLine="0" w:firstLineChars="0"/>
        <w:jc w:val="left"/>
        <w:rPr>
          <w:rFonts w:asciiTheme="minorEastAsia" w:hAnsiTheme="minorEastAsia"/>
          <w:sz w:val="21"/>
          <w:szCs w:val="21"/>
        </w:rPr>
      </w:pPr>
      <w:r>
        <w:rPr>
          <w:rFonts w:hint="eastAsia" w:asciiTheme="minorEastAsia" w:hAnsiTheme="minorEastAsia"/>
          <w:sz w:val="21"/>
          <w:szCs w:val="21"/>
        </w:rPr>
        <w:t>揭阳职业技术学院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潮汕职业技术学院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中国移动广东广州分公司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中国联通广州市分公司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中国电信股份有限公司揭阳分公司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中国移动通信集团广东有限公司揭阳分公司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中国联合网络通信有限公司揭阳分公司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中国联通郑州分公司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无锡移动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宿迁电信</w:t>
      </w:r>
    </w:p>
    <w:p>
      <w:pPr>
        <w:ind w:firstLine="0" w:firstLineChars="0"/>
        <w:jc w:val="left"/>
        <w:rPr>
          <w:rFonts w:asciiTheme="minorEastAsia" w:hAnsiTheme="minorEastAsia"/>
          <w:sz w:val="21"/>
          <w:szCs w:val="21"/>
        </w:rPr>
      </w:pPr>
      <w:r>
        <w:rPr>
          <w:rFonts w:hint="eastAsia" w:asciiTheme="minorEastAsia" w:hAnsiTheme="minorEastAsia"/>
          <w:sz w:val="21"/>
          <w:szCs w:val="21"/>
        </w:rPr>
        <w:t>广东电网公司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广州供电局有限公司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内蒙古电力集团公司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中国人民银行宿迁分行</w:t>
      </w:r>
    </w:p>
    <w:p>
      <w:pPr>
        <w:ind w:firstLine="0" w:firstLineChars="0"/>
        <w:jc w:val="left"/>
        <w:rPr>
          <w:rFonts w:asciiTheme="minorEastAsia" w:hAnsiTheme="minorEastAsia"/>
          <w:sz w:val="21"/>
          <w:szCs w:val="21"/>
        </w:rPr>
      </w:pPr>
      <w:r>
        <w:rPr>
          <w:rFonts w:hint="eastAsia" w:asciiTheme="minorEastAsia" w:hAnsiTheme="minorEastAsia"/>
          <w:sz w:val="21"/>
          <w:szCs w:val="21"/>
        </w:rPr>
        <w:t>云南曲靖交通集团有限公司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中国铁路昆明局集团有限公司曲靖站</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中国铁路昆明局集团有限公司曲靖北站</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内蒙古公路交通投资发展有限公司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广州地铁集团有限公司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广州市公共交通集团有限公司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广州港集团有限公司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广汽集团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广州燃气集团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广州石化</w:t>
      </w:r>
    </w:p>
    <w:p>
      <w:pPr>
        <w:ind w:firstLine="0" w:firstLineChars="0"/>
        <w:jc w:val="left"/>
        <w:rPr>
          <w:rFonts w:asciiTheme="minorEastAsia" w:hAnsiTheme="minorEastAsia"/>
          <w:sz w:val="21"/>
          <w:szCs w:val="21"/>
        </w:rPr>
      </w:pPr>
      <w:r>
        <w:rPr>
          <w:rFonts w:hint="eastAsia" w:asciiTheme="minorEastAsia" w:hAnsiTheme="minorEastAsia"/>
          <w:sz w:val="21"/>
          <w:szCs w:val="21"/>
        </w:rPr>
        <w:t>广州工业发展集团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广州珠江实业集团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广州医药集团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广州市第八人民医院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广州市第十二人民医院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广州市红十字会医院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中山大学附属第三医院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中山大学附属肿瘤医院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中山大学孙逸仙纪念医院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广州广电传媒集团</w:t>
      </w:r>
    </w:p>
    <w:p>
      <w:pPr>
        <w:ind w:firstLine="0" w:firstLineChars="0"/>
        <w:jc w:val="left"/>
        <w:rPr>
          <w:rFonts w:asciiTheme="minorEastAsia" w:hAnsiTheme="minorEastAsia"/>
          <w:sz w:val="21"/>
          <w:szCs w:val="21"/>
        </w:rPr>
      </w:pPr>
      <w:r>
        <w:rPr>
          <w:rFonts w:hint="eastAsia" w:asciiTheme="minorEastAsia" w:hAnsiTheme="minorEastAsia"/>
          <w:sz w:val="21"/>
          <w:szCs w:val="21"/>
        </w:rPr>
        <w:t>陕西网</w:t>
      </w:r>
    </w:p>
    <w:p>
      <w:pPr>
        <w:ind w:firstLine="0" w:firstLineChars="0"/>
        <w:jc w:val="left"/>
        <w:rPr>
          <w:rFonts w:asciiTheme="minorEastAsia" w:hAnsiTheme="minorEastAsia"/>
          <w:sz w:val="21"/>
          <w:szCs w:val="21"/>
        </w:rPr>
      </w:pPr>
      <w:r>
        <w:rPr>
          <w:rFonts w:hint="eastAsia" w:asciiTheme="minorEastAsia" w:hAnsiTheme="minorEastAsia"/>
          <w:sz w:val="21"/>
          <w:szCs w:val="21"/>
        </w:rPr>
        <w:t>群众新闻网</w:t>
      </w:r>
    </w:p>
    <w:p>
      <w:pPr>
        <w:ind w:firstLine="0" w:firstLineChars="0"/>
        <w:jc w:val="left"/>
        <w:rPr>
          <w:rFonts w:asciiTheme="minorEastAsia" w:hAnsiTheme="minorEastAsia"/>
          <w:sz w:val="21"/>
          <w:szCs w:val="21"/>
        </w:rPr>
      </w:pPr>
      <w:r>
        <w:rPr>
          <w:rFonts w:hint="eastAsia" w:asciiTheme="minorEastAsia" w:hAnsiTheme="minorEastAsia"/>
          <w:sz w:val="21"/>
          <w:szCs w:val="21"/>
        </w:rPr>
        <w:t>爱建湖网</w:t>
      </w:r>
    </w:p>
    <w:p>
      <w:pPr>
        <w:ind w:firstLine="0" w:firstLineChars="0"/>
        <w:jc w:val="left"/>
        <w:rPr>
          <w:rFonts w:asciiTheme="minorEastAsia" w:hAnsiTheme="minorEastAsia"/>
          <w:sz w:val="21"/>
          <w:szCs w:val="21"/>
        </w:rPr>
      </w:pPr>
      <w:r>
        <w:rPr>
          <w:rFonts w:hint="eastAsia" w:asciiTheme="minorEastAsia" w:hAnsiTheme="minorEastAsia"/>
          <w:sz w:val="21"/>
          <w:szCs w:val="21"/>
        </w:rPr>
        <w:t>山西市场导报（媒体）</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中山市中山网传媒有限公司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深圳新闻网传媒股份有限公司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广东足球协会</w:t>
      </w:r>
    </w:p>
    <w:p>
      <w:pPr>
        <w:ind w:firstLine="0" w:firstLineChars="0"/>
        <w:jc w:val="left"/>
        <w:rPr>
          <w:rFonts w:asciiTheme="minorEastAsia" w:hAnsiTheme="minorEastAsia"/>
          <w:sz w:val="21"/>
          <w:szCs w:val="21"/>
        </w:rPr>
      </w:pPr>
      <w:r>
        <w:rPr>
          <w:rFonts w:hint="eastAsia" w:asciiTheme="minorEastAsia" w:hAnsiTheme="minorEastAsia"/>
          <w:sz w:val="21"/>
          <w:szCs w:val="21"/>
        </w:rPr>
        <w:t>福建省电子商务协会</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b/>
          <w:bCs/>
          <w:kern w:val="44"/>
          <w:sz w:val="28"/>
          <w:szCs w:val="28"/>
        </w:rPr>
      </w:pPr>
    </w:p>
    <w:p>
      <w:pPr>
        <w:widowControl/>
        <w:adjustRightInd/>
        <w:snapToGrid/>
        <w:spacing w:line="240" w:lineRule="auto"/>
        <w:ind w:firstLine="0" w:firstLineChars="0"/>
        <w:jc w:val="left"/>
        <w:rPr>
          <w:rFonts w:asciiTheme="minorEastAsia" w:hAnsiTheme="minorEastAsia"/>
          <w:kern w:val="44"/>
          <w:sz w:val="28"/>
          <w:szCs w:val="28"/>
        </w:rPr>
      </w:pPr>
    </w:p>
    <w:sectPr>
      <w:headerReference r:id="rId13" w:type="default"/>
      <w:footerReference r:id="rId14" w:type="default"/>
      <w:type w:val="continuous"/>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BIrCEAIAAAkEAAAOAAAAAAAAAAEAIAAA&#10;AB8BAABkcnMvZTJvRG9jLnhtbFBLBQYAAAAABgAGAFkBAAChBQ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395"/>
        <w:tab w:val="left" w:pos="5500"/>
      </w:tabs>
      <w:ind w:firstLine="360"/>
    </w:pPr>
    <w: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tabs>
                              <w:tab w:val="center" w:pos="4395"/>
                              <w:tab w:val="left" w:pos="5500"/>
                            </w:tabs>
                            <w:ind w:firstLine="360"/>
                          </w:pPr>
                          <w:r>
                            <w:rPr>
                              <w:rFonts w:hint="eastAsia"/>
                            </w:rPr>
                            <w:tab/>
                          </w:r>
                          <w:r>
                            <w:rPr>
                              <w:rFonts w:hint="eastAsia"/>
                            </w:rPr>
                            <w:tab/>
                          </w:r>
                          <w:sdt>
                            <w:sdtPr>
                              <w:id w:val="1543712967"/>
                            </w:sdtPr>
                            <w:sdtContent>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r>
                                <w:rPr>
                                  <w:rFonts w:hint="eastAsia"/>
                                  <w:b/>
                                  <w:bCs/>
                                  <w:lang w:val="zh-CN"/>
                                </w:rPr>
                                <w:tab/>
                              </w:r>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9"/>
                      <w:tabs>
                        <w:tab w:val="center" w:pos="4395"/>
                        <w:tab w:val="left" w:pos="5500"/>
                      </w:tabs>
                      <w:ind w:firstLine="360"/>
                    </w:pPr>
                    <w:r>
                      <w:rPr>
                        <w:rFonts w:hint="eastAsia"/>
                      </w:rPr>
                      <w:tab/>
                    </w:r>
                    <w:r>
                      <w:rPr>
                        <w:rFonts w:hint="eastAsia"/>
                      </w:rPr>
                      <w:tab/>
                    </w:r>
                    <w:sdt>
                      <w:sdtPr>
                        <w:id w:val="1543712967"/>
                      </w:sdtPr>
                      <w:sdtContent>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r>
                          <w:rPr>
                            <w:rFonts w:hint="eastAsia"/>
                            <w:b/>
                            <w:bCs/>
                            <w:lang w:val="zh-CN"/>
                          </w:rPr>
                          <w:tab/>
                        </w:r>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395"/>
        <w:tab w:val="left" w:pos="5500"/>
      </w:tabs>
      <w:ind w:firstLine="360"/>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tabs>
                              <w:tab w:val="center" w:pos="4395"/>
                              <w:tab w:val="left" w:pos="5500"/>
                            </w:tabs>
                            <w:ind w:firstLine="360"/>
                          </w:pPr>
                          <w:r>
                            <w:rPr>
                              <w:rFonts w:hint="eastAsia"/>
                            </w:rPr>
                            <w:tab/>
                          </w:r>
                          <w:r>
                            <w:rPr>
                              <w:rFonts w:hint="eastAsia"/>
                            </w:rPr>
                            <w:tab/>
                          </w:r>
                          <w:sdt>
                            <w:sdtPr>
                              <w:id w:val="254179413"/>
                            </w:sdtPr>
                            <w:sdtContent>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r>
                                <w:rPr>
                                  <w:rFonts w:hint="eastAsia"/>
                                  <w:b/>
                                  <w:bCs/>
                                  <w:lang w:val="zh-CN"/>
                                </w:rPr>
                                <w:tab/>
                              </w:r>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pStyle w:val="9"/>
                      <w:tabs>
                        <w:tab w:val="center" w:pos="4395"/>
                        <w:tab w:val="left" w:pos="5500"/>
                      </w:tabs>
                      <w:ind w:firstLine="360"/>
                    </w:pPr>
                    <w:r>
                      <w:rPr>
                        <w:rFonts w:hint="eastAsia"/>
                      </w:rPr>
                      <w:tab/>
                    </w:r>
                    <w:r>
                      <w:rPr>
                        <w:rFonts w:hint="eastAsia"/>
                      </w:rPr>
                      <w:tab/>
                    </w:r>
                    <w:sdt>
                      <w:sdtPr>
                        <w:id w:val="254179413"/>
                      </w:sdtPr>
                      <w:sdtContent>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r>
                          <w:rPr>
                            <w:rFonts w:hint="eastAsia"/>
                            <w:b/>
                            <w:bCs/>
                            <w:lang w:val="zh-CN"/>
                          </w:rPr>
                          <w:tab/>
                        </w:r>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v:textbox>
            </v:shape>
          </w:pict>
        </mc:Fallback>
      </mc:AlternateContent>
    </w:r>
  </w:p>
  <w:p>
    <w:pPr>
      <w:spacing w:line="240" w:lineRule="auto"/>
      <w:ind w:firstLine="420"/>
      <w:rPr>
        <w:bCs/>
        <w:sz w:val="21"/>
        <w:szCs w:val="21"/>
      </w:rPr>
    </w:pPr>
    <w:r>
      <w:rPr>
        <w:rFonts w:hint="eastAsia" w:ascii="黑体" w:hAnsi="黑体" w:eastAsia="黑体"/>
        <w:bCs/>
        <w:sz w:val="21"/>
        <w:szCs w:val="21"/>
      </w:rPr>
      <w:t xml:space="preserve">广东新兴国家网络安全和信息化发展研究院2020.8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pPr>
    <w:r>
      <w:rPr>
        <w:rFonts w:ascii="黑体" w:hAnsi="黑体" w:eastAsia="黑体"/>
        <w:b/>
        <w:bCs/>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274310" cy="3270250"/>
          <wp:effectExtent l="0" t="0" r="2540" b="6350"/>
          <wp:wrapNone/>
          <wp:docPr id="5" name="图片 10"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r>
      <w:rPr>
        <w:rFonts w:hint="eastAsia" w:ascii="黑体" w:hAnsi="黑体" w:eastAsia="黑体"/>
        <w:b/>
        <w:bCs/>
      </w:rPr>
      <w:t>2020网民网络安全感满意度调查数据统计报告（从业人员版）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r>
      <w:rPr>
        <w:rFonts w:hint="eastAsia" w:ascii="黑体" w:hAnsi="黑体" w:eastAsia="黑体"/>
        <w:sz w:val="22"/>
        <w:szCs w:val="22"/>
      </w:rPr>
      <w:t>2020年全国网民网络安全感满意度调查统计报告（从业人员版）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E967CCF"/>
    <w:multiLevelType w:val="singleLevel"/>
    <w:tmpl w:val="0E967CCF"/>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973"/>
    <w:rsid w:val="0002011C"/>
    <w:rsid w:val="00023C0E"/>
    <w:rsid w:val="00023C13"/>
    <w:rsid w:val="00024877"/>
    <w:rsid w:val="00030E32"/>
    <w:rsid w:val="0003323B"/>
    <w:rsid w:val="0003623F"/>
    <w:rsid w:val="0004074E"/>
    <w:rsid w:val="00046002"/>
    <w:rsid w:val="000526B1"/>
    <w:rsid w:val="00064558"/>
    <w:rsid w:val="0006487B"/>
    <w:rsid w:val="000734D8"/>
    <w:rsid w:val="00077834"/>
    <w:rsid w:val="0008740C"/>
    <w:rsid w:val="0008786F"/>
    <w:rsid w:val="00087DCA"/>
    <w:rsid w:val="00092BD4"/>
    <w:rsid w:val="00094105"/>
    <w:rsid w:val="00094DAD"/>
    <w:rsid w:val="000952BA"/>
    <w:rsid w:val="000A00B5"/>
    <w:rsid w:val="000A747C"/>
    <w:rsid w:val="000B3016"/>
    <w:rsid w:val="000C11F3"/>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10640"/>
    <w:rsid w:val="00127F5C"/>
    <w:rsid w:val="0013160D"/>
    <w:rsid w:val="00132672"/>
    <w:rsid w:val="0013461E"/>
    <w:rsid w:val="00137C55"/>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A2526"/>
    <w:rsid w:val="001A2A02"/>
    <w:rsid w:val="001A3B61"/>
    <w:rsid w:val="001A6B98"/>
    <w:rsid w:val="001B6987"/>
    <w:rsid w:val="001C0F89"/>
    <w:rsid w:val="001C1461"/>
    <w:rsid w:val="001C2951"/>
    <w:rsid w:val="001C6B5B"/>
    <w:rsid w:val="001D31D8"/>
    <w:rsid w:val="001D59F3"/>
    <w:rsid w:val="001E09CC"/>
    <w:rsid w:val="001E1B32"/>
    <w:rsid w:val="001E3026"/>
    <w:rsid w:val="001E4636"/>
    <w:rsid w:val="001F6994"/>
    <w:rsid w:val="001F6D12"/>
    <w:rsid w:val="002030F2"/>
    <w:rsid w:val="00204D9B"/>
    <w:rsid w:val="00206C63"/>
    <w:rsid w:val="00207E26"/>
    <w:rsid w:val="00211341"/>
    <w:rsid w:val="002211A5"/>
    <w:rsid w:val="0022218E"/>
    <w:rsid w:val="00224457"/>
    <w:rsid w:val="002245D3"/>
    <w:rsid w:val="00224FF1"/>
    <w:rsid w:val="002263B5"/>
    <w:rsid w:val="00233A50"/>
    <w:rsid w:val="00240C2A"/>
    <w:rsid w:val="0025393E"/>
    <w:rsid w:val="002546D4"/>
    <w:rsid w:val="002569E3"/>
    <w:rsid w:val="0026236D"/>
    <w:rsid w:val="00263DCA"/>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5902"/>
    <w:rsid w:val="002C444A"/>
    <w:rsid w:val="002C72B1"/>
    <w:rsid w:val="002C75F3"/>
    <w:rsid w:val="002D05FF"/>
    <w:rsid w:val="002D1C8A"/>
    <w:rsid w:val="002D3F8C"/>
    <w:rsid w:val="002D4878"/>
    <w:rsid w:val="002E016B"/>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36279"/>
    <w:rsid w:val="0034332E"/>
    <w:rsid w:val="003510DC"/>
    <w:rsid w:val="00362424"/>
    <w:rsid w:val="00367AD9"/>
    <w:rsid w:val="0037055E"/>
    <w:rsid w:val="00381CC0"/>
    <w:rsid w:val="00382ED4"/>
    <w:rsid w:val="00386F2B"/>
    <w:rsid w:val="00391F0F"/>
    <w:rsid w:val="00397263"/>
    <w:rsid w:val="003A266D"/>
    <w:rsid w:val="003A3819"/>
    <w:rsid w:val="003B0C28"/>
    <w:rsid w:val="003B3DFE"/>
    <w:rsid w:val="003C1C20"/>
    <w:rsid w:val="003C2F1E"/>
    <w:rsid w:val="003C393D"/>
    <w:rsid w:val="003C483B"/>
    <w:rsid w:val="003D0D65"/>
    <w:rsid w:val="003D39D4"/>
    <w:rsid w:val="003D3EE6"/>
    <w:rsid w:val="003D49B3"/>
    <w:rsid w:val="003D73C7"/>
    <w:rsid w:val="003E431D"/>
    <w:rsid w:val="003E7BB9"/>
    <w:rsid w:val="003F09E8"/>
    <w:rsid w:val="0040170B"/>
    <w:rsid w:val="00407DF7"/>
    <w:rsid w:val="00411CBB"/>
    <w:rsid w:val="00422AD4"/>
    <w:rsid w:val="00422F50"/>
    <w:rsid w:val="0042575C"/>
    <w:rsid w:val="00425ACC"/>
    <w:rsid w:val="00427EBE"/>
    <w:rsid w:val="00432D24"/>
    <w:rsid w:val="00437EDE"/>
    <w:rsid w:val="00440300"/>
    <w:rsid w:val="00444FFB"/>
    <w:rsid w:val="00445A6F"/>
    <w:rsid w:val="00447F69"/>
    <w:rsid w:val="0045725C"/>
    <w:rsid w:val="00461D4D"/>
    <w:rsid w:val="00463204"/>
    <w:rsid w:val="004648A3"/>
    <w:rsid w:val="00465478"/>
    <w:rsid w:val="004702F4"/>
    <w:rsid w:val="00472E47"/>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33D8"/>
    <w:rsid w:val="00573565"/>
    <w:rsid w:val="005815C9"/>
    <w:rsid w:val="005904C1"/>
    <w:rsid w:val="005968DA"/>
    <w:rsid w:val="00597B7F"/>
    <w:rsid w:val="005A394A"/>
    <w:rsid w:val="005A6FF4"/>
    <w:rsid w:val="005B6A85"/>
    <w:rsid w:val="005C2189"/>
    <w:rsid w:val="005C232D"/>
    <w:rsid w:val="005C36BC"/>
    <w:rsid w:val="005D2684"/>
    <w:rsid w:val="005D46B2"/>
    <w:rsid w:val="005D6C28"/>
    <w:rsid w:val="005E5886"/>
    <w:rsid w:val="005E79DA"/>
    <w:rsid w:val="005F2152"/>
    <w:rsid w:val="006023B3"/>
    <w:rsid w:val="00606225"/>
    <w:rsid w:val="00614EB8"/>
    <w:rsid w:val="006226EE"/>
    <w:rsid w:val="006232B4"/>
    <w:rsid w:val="00623D16"/>
    <w:rsid w:val="006243CB"/>
    <w:rsid w:val="0062637C"/>
    <w:rsid w:val="00630D2B"/>
    <w:rsid w:val="00631044"/>
    <w:rsid w:val="0063148E"/>
    <w:rsid w:val="006331F7"/>
    <w:rsid w:val="006343E7"/>
    <w:rsid w:val="00641EC4"/>
    <w:rsid w:val="00642A77"/>
    <w:rsid w:val="0064372A"/>
    <w:rsid w:val="00646DF3"/>
    <w:rsid w:val="006477F7"/>
    <w:rsid w:val="00650629"/>
    <w:rsid w:val="00653202"/>
    <w:rsid w:val="00656E80"/>
    <w:rsid w:val="0065701D"/>
    <w:rsid w:val="0065769E"/>
    <w:rsid w:val="006659FF"/>
    <w:rsid w:val="00674287"/>
    <w:rsid w:val="00675E0E"/>
    <w:rsid w:val="006846AB"/>
    <w:rsid w:val="00690BC1"/>
    <w:rsid w:val="00691A4D"/>
    <w:rsid w:val="00692A29"/>
    <w:rsid w:val="006957D1"/>
    <w:rsid w:val="006A020F"/>
    <w:rsid w:val="006A0780"/>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E5F95"/>
    <w:rsid w:val="007E6932"/>
    <w:rsid w:val="007F1542"/>
    <w:rsid w:val="007F30A4"/>
    <w:rsid w:val="007F7C06"/>
    <w:rsid w:val="00801765"/>
    <w:rsid w:val="00811127"/>
    <w:rsid w:val="00817D7D"/>
    <w:rsid w:val="00821FC2"/>
    <w:rsid w:val="00824D4F"/>
    <w:rsid w:val="00827213"/>
    <w:rsid w:val="00831B6F"/>
    <w:rsid w:val="0083277F"/>
    <w:rsid w:val="00833110"/>
    <w:rsid w:val="0083479C"/>
    <w:rsid w:val="00840C2F"/>
    <w:rsid w:val="0084223B"/>
    <w:rsid w:val="00845AAA"/>
    <w:rsid w:val="0084629F"/>
    <w:rsid w:val="008462DE"/>
    <w:rsid w:val="0084689D"/>
    <w:rsid w:val="00853283"/>
    <w:rsid w:val="0085734C"/>
    <w:rsid w:val="008641D1"/>
    <w:rsid w:val="00864927"/>
    <w:rsid w:val="00864A65"/>
    <w:rsid w:val="00864AA4"/>
    <w:rsid w:val="00864DD8"/>
    <w:rsid w:val="00867BD3"/>
    <w:rsid w:val="00875BB2"/>
    <w:rsid w:val="008764C0"/>
    <w:rsid w:val="00877E2F"/>
    <w:rsid w:val="008863D8"/>
    <w:rsid w:val="00887594"/>
    <w:rsid w:val="00894486"/>
    <w:rsid w:val="00895C3D"/>
    <w:rsid w:val="0089661F"/>
    <w:rsid w:val="008967A7"/>
    <w:rsid w:val="008A1F4C"/>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67FD3"/>
    <w:rsid w:val="00970FD8"/>
    <w:rsid w:val="009723CD"/>
    <w:rsid w:val="00977FA6"/>
    <w:rsid w:val="009852C4"/>
    <w:rsid w:val="009868EC"/>
    <w:rsid w:val="0099024E"/>
    <w:rsid w:val="0099581E"/>
    <w:rsid w:val="009A3EA8"/>
    <w:rsid w:val="009A6068"/>
    <w:rsid w:val="009A60F1"/>
    <w:rsid w:val="009B1EC5"/>
    <w:rsid w:val="009C00AF"/>
    <w:rsid w:val="009C2403"/>
    <w:rsid w:val="009C29EB"/>
    <w:rsid w:val="009C31A9"/>
    <w:rsid w:val="009C5F9D"/>
    <w:rsid w:val="009D1DE8"/>
    <w:rsid w:val="009D2EF9"/>
    <w:rsid w:val="009D43CB"/>
    <w:rsid w:val="009D4704"/>
    <w:rsid w:val="009D6128"/>
    <w:rsid w:val="009E116E"/>
    <w:rsid w:val="009E1EA9"/>
    <w:rsid w:val="009E6F32"/>
    <w:rsid w:val="009F0566"/>
    <w:rsid w:val="009F0F35"/>
    <w:rsid w:val="009F50D4"/>
    <w:rsid w:val="00A00718"/>
    <w:rsid w:val="00A060E7"/>
    <w:rsid w:val="00A06FE9"/>
    <w:rsid w:val="00A1601E"/>
    <w:rsid w:val="00A16F0A"/>
    <w:rsid w:val="00A2009C"/>
    <w:rsid w:val="00A247C1"/>
    <w:rsid w:val="00A25D36"/>
    <w:rsid w:val="00A351AE"/>
    <w:rsid w:val="00A35DF8"/>
    <w:rsid w:val="00A37DF5"/>
    <w:rsid w:val="00A41531"/>
    <w:rsid w:val="00A41F6F"/>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A71CE"/>
    <w:rsid w:val="00AB0B07"/>
    <w:rsid w:val="00AB268A"/>
    <w:rsid w:val="00AC156C"/>
    <w:rsid w:val="00AC2CC5"/>
    <w:rsid w:val="00AC3DB8"/>
    <w:rsid w:val="00AC4D59"/>
    <w:rsid w:val="00AC5609"/>
    <w:rsid w:val="00AE079A"/>
    <w:rsid w:val="00AE3732"/>
    <w:rsid w:val="00AE483F"/>
    <w:rsid w:val="00AF17D3"/>
    <w:rsid w:val="00AF47E6"/>
    <w:rsid w:val="00B03430"/>
    <w:rsid w:val="00B102ED"/>
    <w:rsid w:val="00B103D1"/>
    <w:rsid w:val="00B10B03"/>
    <w:rsid w:val="00B22B78"/>
    <w:rsid w:val="00B271DC"/>
    <w:rsid w:val="00B307B2"/>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5BAC"/>
    <w:rsid w:val="00B8244D"/>
    <w:rsid w:val="00B913B0"/>
    <w:rsid w:val="00B9177E"/>
    <w:rsid w:val="00B9461E"/>
    <w:rsid w:val="00BA3BFD"/>
    <w:rsid w:val="00BA6592"/>
    <w:rsid w:val="00BA7252"/>
    <w:rsid w:val="00BB2D77"/>
    <w:rsid w:val="00BB2FF7"/>
    <w:rsid w:val="00BB3F08"/>
    <w:rsid w:val="00BC02EA"/>
    <w:rsid w:val="00BC6E0C"/>
    <w:rsid w:val="00BD058D"/>
    <w:rsid w:val="00BD2A18"/>
    <w:rsid w:val="00BD49F9"/>
    <w:rsid w:val="00BD68FE"/>
    <w:rsid w:val="00BE5DE5"/>
    <w:rsid w:val="00BE616F"/>
    <w:rsid w:val="00BF001D"/>
    <w:rsid w:val="00BF70A5"/>
    <w:rsid w:val="00C11EB4"/>
    <w:rsid w:val="00C140D4"/>
    <w:rsid w:val="00C15C9F"/>
    <w:rsid w:val="00C17C23"/>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62C69"/>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E4B0D"/>
    <w:rsid w:val="00CE5264"/>
    <w:rsid w:val="00CE71C1"/>
    <w:rsid w:val="00CF0E24"/>
    <w:rsid w:val="00CF63C6"/>
    <w:rsid w:val="00CF75C6"/>
    <w:rsid w:val="00D00CD7"/>
    <w:rsid w:val="00D02428"/>
    <w:rsid w:val="00D06922"/>
    <w:rsid w:val="00D07344"/>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3060"/>
    <w:rsid w:val="00D54D5E"/>
    <w:rsid w:val="00D55F40"/>
    <w:rsid w:val="00D572C0"/>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767C"/>
    <w:rsid w:val="00DC7F2D"/>
    <w:rsid w:val="00DD061B"/>
    <w:rsid w:val="00DD0A87"/>
    <w:rsid w:val="00DD2EEF"/>
    <w:rsid w:val="00DD3F06"/>
    <w:rsid w:val="00DE51FB"/>
    <w:rsid w:val="00DE747A"/>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A5CB6"/>
    <w:rsid w:val="00EA7562"/>
    <w:rsid w:val="00EA7BBA"/>
    <w:rsid w:val="00EB1DBD"/>
    <w:rsid w:val="00EB394B"/>
    <w:rsid w:val="00EB7350"/>
    <w:rsid w:val="00ED254D"/>
    <w:rsid w:val="00ED7F37"/>
    <w:rsid w:val="00EE12F9"/>
    <w:rsid w:val="00EE2540"/>
    <w:rsid w:val="00EE44F7"/>
    <w:rsid w:val="00EE7EF6"/>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40344"/>
    <w:rsid w:val="00F54580"/>
    <w:rsid w:val="00F56B37"/>
    <w:rsid w:val="00F61541"/>
    <w:rsid w:val="00F658AF"/>
    <w:rsid w:val="00F674F3"/>
    <w:rsid w:val="00F70D55"/>
    <w:rsid w:val="00F74110"/>
    <w:rsid w:val="00F83924"/>
    <w:rsid w:val="00F92EE1"/>
    <w:rsid w:val="00FA7A5E"/>
    <w:rsid w:val="00FB111E"/>
    <w:rsid w:val="00FB2A49"/>
    <w:rsid w:val="00FC5AF9"/>
    <w:rsid w:val="00FD0B85"/>
    <w:rsid w:val="00FD12F8"/>
    <w:rsid w:val="00FD2B07"/>
    <w:rsid w:val="00FD4D40"/>
    <w:rsid w:val="00FD561A"/>
    <w:rsid w:val="00FD7191"/>
    <w:rsid w:val="00FE61FB"/>
    <w:rsid w:val="00FE6BCF"/>
    <w:rsid w:val="00FE7A29"/>
    <w:rsid w:val="00FF0422"/>
    <w:rsid w:val="00FF31CE"/>
    <w:rsid w:val="00FF4BDA"/>
    <w:rsid w:val="00FF7689"/>
    <w:rsid w:val="023B378D"/>
    <w:rsid w:val="02FA3125"/>
    <w:rsid w:val="0372782F"/>
    <w:rsid w:val="052B45FC"/>
    <w:rsid w:val="05524D58"/>
    <w:rsid w:val="055737DC"/>
    <w:rsid w:val="05911E0D"/>
    <w:rsid w:val="05BF2232"/>
    <w:rsid w:val="068B2F94"/>
    <w:rsid w:val="073B14B7"/>
    <w:rsid w:val="07B11F98"/>
    <w:rsid w:val="07D72183"/>
    <w:rsid w:val="084775B3"/>
    <w:rsid w:val="09440120"/>
    <w:rsid w:val="0973479B"/>
    <w:rsid w:val="099D12DD"/>
    <w:rsid w:val="0A0B5141"/>
    <w:rsid w:val="0A354CBD"/>
    <w:rsid w:val="0AA260B6"/>
    <w:rsid w:val="0AEE66CB"/>
    <w:rsid w:val="0B054CFC"/>
    <w:rsid w:val="0B2D28A6"/>
    <w:rsid w:val="0BB4434D"/>
    <w:rsid w:val="0BD64145"/>
    <w:rsid w:val="0BFC4CF7"/>
    <w:rsid w:val="0C1C04AF"/>
    <w:rsid w:val="0C982694"/>
    <w:rsid w:val="0CA65DD9"/>
    <w:rsid w:val="0D422761"/>
    <w:rsid w:val="0E94297B"/>
    <w:rsid w:val="0EB878B0"/>
    <w:rsid w:val="0ECB17B3"/>
    <w:rsid w:val="0ED43231"/>
    <w:rsid w:val="0EF5084B"/>
    <w:rsid w:val="0FDD1E4C"/>
    <w:rsid w:val="0FFA7E77"/>
    <w:rsid w:val="101322A5"/>
    <w:rsid w:val="1093462E"/>
    <w:rsid w:val="11523D83"/>
    <w:rsid w:val="11BA1A5C"/>
    <w:rsid w:val="11EA14D1"/>
    <w:rsid w:val="12125563"/>
    <w:rsid w:val="12A4062A"/>
    <w:rsid w:val="12B305C1"/>
    <w:rsid w:val="12CF01E6"/>
    <w:rsid w:val="135F361E"/>
    <w:rsid w:val="148223D0"/>
    <w:rsid w:val="14AD02E7"/>
    <w:rsid w:val="14C3193C"/>
    <w:rsid w:val="14DE5AC0"/>
    <w:rsid w:val="14F703BE"/>
    <w:rsid w:val="151C11D8"/>
    <w:rsid w:val="15425B48"/>
    <w:rsid w:val="165B2AB0"/>
    <w:rsid w:val="16E36A49"/>
    <w:rsid w:val="170A5FB6"/>
    <w:rsid w:val="192044D3"/>
    <w:rsid w:val="1A0611AC"/>
    <w:rsid w:val="1A42585B"/>
    <w:rsid w:val="1B5B1707"/>
    <w:rsid w:val="1BD258A7"/>
    <w:rsid w:val="1C27651D"/>
    <w:rsid w:val="1C332702"/>
    <w:rsid w:val="1C663488"/>
    <w:rsid w:val="1CFC022E"/>
    <w:rsid w:val="1D1074B3"/>
    <w:rsid w:val="1D245443"/>
    <w:rsid w:val="1E234A94"/>
    <w:rsid w:val="1F207E8F"/>
    <w:rsid w:val="20760914"/>
    <w:rsid w:val="20D36461"/>
    <w:rsid w:val="215767F6"/>
    <w:rsid w:val="21D25E09"/>
    <w:rsid w:val="226F0029"/>
    <w:rsid w:val="23B40B24"/>
    <w:rsid w:val="24F96E31"/>
    <w:rsid w:val="25142462"/>
    <w:rsid w:val="25750171"/>
    <w:rsid w:val="260D2C4C"/>
    <w:rsid w:val="28D01663"/>
    <w:rsid w:val="28E51C66"/>
    <w:rsid w:val="28FE7014"/>
    <w:rsid w:val="29334D44"/>
    <w:rsid w:val="29876431"/>
    <w:rsid w:val="2AD02132"/>
    <w:rsid w:val="2AE41019"/>
    <w:rsid w:val="2B87553E"/>
    <w:rsid w:val="2BB65252"/>
    <w:rsid w:val="2BB65B76"/>
    <w:rsid w:val="2C3E6356"/>
    <w:rsid w:val="2CA3379D"/>
    <w:rsid w:val="2CC62B8F"/>
    <w:rsid w:val="2CFB4881"/>
    <w:rsid w:val="2F08184B"/>
    <w:rsid w:val="2F60294A"/>
    <w:rsid w:val="2F9873C9"/>
    <w:rsid w:val="2FB95E44"/>
    <w:rsid w:val="30035288"/>
    <w:rsid w:val="305D588F"/>
    <w:rsid w:val="30F65B41"/>
    <w:rsid w:val="315B57D3"/>
    <w:rsid w:val="315D00CA"/>
    <w:rsid w:val="317570BE"/>
    <w:rsid w:val="32F70DDD"/>
    <w:rsid w:val="33130A45"/>
    <w:rsid w:val="331A3462"/>
    <w:rsid w:val="3393700A"/>
    <w:rsid w:val="35752598"/>
    <w:rsid w:val="35930BB8"/>
    <w:rsid w:val="35E63C42"/>
    <w:rsid w:val="3632380A"/>
    <w:rsid w:val="364A44C5"/>
    <w:rsid w:val="372200C5"/>
    <w:rsid w:val="3778156B"/>
    <w:rsid w:val="37E772F4"/>
    <w:rsid w:val="37FA3173"/>
    <w:rsid w:val="38B30406"/>
    <w:rsid w:val="39F47D4C"/>
    <w:rsid w:val="3A6C6FE9"/>
    <w:rsid w:val="3B9239B3"/>
    <w:rsid w:val="3C054DCF"/>
    <w:rsid w:val="3C287132"/>
    <w:rsid w:val="3C4B71E9"/>
    <w:rsid w:val="3CB641C1"/>
    <w:rsid w:val="3CFE518E"/>
    <w:rsid w:val="3D3572D7"/>
    <w:rsid w:val="3D411127"/>
    <w:rsid w:val="3D760CBB"/>
    <w:rsid w:val="3EBD1AC9"/>
    <w:rsid w:val="3F886B8D"/>
    <w:rsid w:val="401D6719"/>
    <w:rsid w:val="40403794"/>
    <w:rsid w:val="404C35A3"/>
    <w:rsid w:val="40C12F58"/>
    <w:rsid w:val="41AD25DD"/>
    <w:rsid w:val="42B7672C"/>
    <w:rsid w:val="431146C7"/>
    <w:rsid w:val="431D6B63"/>
    <w:rsid w:val="43AF0F1E"/>
    <w:rsid w:val="43C67502"/>
    <w:rsid w:val="43E42EA1"/>
    <w:rsid w:val="44160269"/>
    <w:rsid w:val="45032BD7"/>
    <w:rsid w:val="45201FF8"/>
    <w:rsid w:val="457B387C"/>
    <w:rsid w:val="464743BA"/>
    <w:rsid w:val="47842AA8"/>
    <w:rsid w:val="48D76192"/>
    <w:rsid w:val="499C6372"/>
    <w:rsid w:val="4A8B5FBD"/>
    <w:rsid w:val="4A8C40C3"/>
    <w:rsid w:val="4AF5361A"/>
    <w:rsid w:val="4B75398A"/>
    <w:rsid w:val="4BB53684"/>
    <w:rsid w:val="4CB15508"/>
    <w:rsid w:val="4CB31C2C"/>
    <w:rsid w:val="4CE151AC"/>
    <w:rsid w:val="4D701F05"/>
    <w:rsid w:val="4DD06C4E"/>
    <w:rsid w:val="4E073887"/>
    <w:rsid w:val="4E6F44F3"/>
    <w:rsid w:val="4F7014B1"/>
    <w:rsid w:val="504A6C71"/>
    <w:rsid w:val="51BA7B3C"/>
    <w:rsid w:val="521060E0"/>
    <w:rsid w:val="52EB2DBE"/>
    <w:rsid w:val="54141F1C"/>
    <w:rsid w:val="55B35440"/>
    <w:rsid w:val="55EC01D2"/>
    <w:rsid w:val="55F40B3F"/>
    <w:rsid w:val="57A76B60"/>
    <w:rsid w:val="58045639"/>
    <w:rsid w:val="58590C60"/>
    <w:rsid w:val="58623777"/>
    <w:rsid w:val="58AC12CB"/>
    <w:rsid w:val="58CE607B"/>
    <w:rsid w:val="58E03929"/>
    <w:rsid w:val="59002342"/>
    <w:rsid w:val="5A15417B"/>
    <w:rsid w:val="5A663E37"/>
    <w:rsid w:val="5A6B7201"/>
    <w:rsid w:val="5C557209"/>
    <w:rsid w:val="5D0B4DA4"/>
    <w:rsid w:val="5D42136C"/>
    <w:rsid w:val="5D586435"/>
    <w:rsid w:val="5D703516"/>
    <w:rsid w:val="5DA23A2C"/>
    <w:rsid w:val="5DC221D1"/>
    <w:rsid w:val="5E2D1242"/>
    <w:rsid w:val="60123010"/>
    <w:rsid w:val="6325241D"/>
    <w:rsid w:val="63C55D21"/>
    <w:rsid w:val="63DD1576"/>
    <w:rsid w:val="643D3FEF"/>
    <w:rsid w:val="64B5061F"/>
    <w:rsid w:val="64F12F56"/>
    <w:rsid w:val="65107BD1"/>
    <w:rsid w:val="65AA16A7"/>
    <w:rsid w:val="66120B20"/>
    <w:rsid w:val="66FB0EDA"/>
    <w:rsid w:val="6712712E"/>
    <w:rsid w:val="692D1A0A"/>
    <w:rsid w:val="6934375A"/>
    <w:rsid w:val="696B6446"/>
    <w:rsid w:val="69A7659C"/>
    <w:rsid w:val="6A475550"/>
    <w:rsid w:val="6AA57321"/>
    <w:rsid w:val="6ABF3458"/>
    <w:rsid w:val="6AC97E7E"/>
    <w:rsid w:val="6ADD5381"/>
    <w:rsid w:val="6B0D1A82"/>
    <w:rsid w:val="6B6B53A6"/>
    <w:rsid w:val="6BC67917"/>
    <w:rsid w:val="6CAF0A0B"/>
    <w:rsid w:val="6CC33953"/>
    <w:rsid w:val="6CCE00FE"/>
    <w:rsid w:val="6DB15725"/>
    <w:rsid w:val="70994206"/>
    <w:rsid w:val="71025096"/>
    <w:rsid w:val="71056B87"/>
    <w:rsid w:val="71D34BBE"/>
    <w:rsid w:val="72736157"/>
    <w:rsid w:val="72793A58"/>
    <w:rsid w:val="72F769C0"/>
    <w:rsid w:val="72FC4BAB"/>
    <w:rsid w:val="72FD6C6D"/>
    <w:rsid w:val="73071371"/>
    <w:rsid w:val="738B094F"/>
    <w:rsid w:val="741D071E"/>
    <w:rsid w:val="74751F13"/>
    <w:rsid w:val="7475680E"/>
    <w:rsid w:val="74BE3C83"/>
    <w:rsid w:val="74E72240"/>
    <w:rsid w:val="74FE29F8"/>
    <w:rsid w:val="75CD59D8"/>
    <w:rsid w:val="779A1C21"/>
    <w:rsid w:val="78044181"/>
    <w:rsid w:val="7965672C"/>
    <w:rsid w:val="7AC0238A"/>
    <w:rsid w:val="7B6E138B"/>
    <w:rsid w:val="7B9D25A5"/>
    <w:rsid w:val="7BB91FA8"/>
    <w:rsid w:val="7BCA43D4"/>
    <w:rsid w:val="7BF53041"/>
    <w:rsid w:val="7C05066D"/>
    <w:rsid w:val="7C2A0E73"/>
    <w:rsid w:val="7D542450"/>
    <w:rsid w:val="7D917384"/>
    <w:rsid w:val="7E380BE1"/>
    <w:rsid w:val="7E3B5DB0"/>
    <w:rsid w:val="7EC51B5E"/>
    <w:rsid w:val="7F8E2640"/>
    <w:rsid w:val="7F956BA0"/>
    <w:rsid w:val="7F9A2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 w:type="paragraph" w:customStyle="1" w:styleId="33">
    <w:name w:val="WPSOffice手动目录 1"/>
    <w:qFormat/>
    <w:uiPriority w:val="0"/>
    <w:rPr>
      <w:rFonts w:asciiTheme="minorHAnsi" w:hAnsiTheme="minorHAnsi" w:eastAsiaTheme="minorEastAsia" w:cstheme="minorBidi"/>
      <w:lang w:val="en-US" w:eastAsia="zh-CN" w:bidi="ar-SA"/>
    </w:rPr>
  </w:style>
  <w:style w:type="paragraph" w:customStyle="1" w:styleId="34">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5">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2" Type="http://schemas.openxmlformats.org/officeDocument/2006/relationships/fontTable" Target="fontTable.xml"/><Relationship Id="rId41" Type="http://schemas.openxmlformats.org/officeDocument/2006/relationships/customXml" Target="../customXml/item3.xml"/><Relationship Id="rId40" Type="http://schemas.openxmlformats.org/officeDocument/2006/relationships/customXml" Target="../customXml/item2.xml"/><Relationship Id="rId4" Type="http://schemas.openxmlformats.org/officeDocument/2006/relationships/header" Target="header2.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chart" Target="charts/chart21.xml"/><Relationship Id="rId36" Type="http://schemas.openxmlformats.org/officeDocument/2006/relationships/chart" Target="charts/chart20.xml"/><Relationship Id="rId35" Type="http://schemas.openxmlformats.org/officeDocument/2006/relationships/chart" Target="charts/chart19.xml"/><Relationship Id="rId34" Type="http://schemas.openxmlformats.org/officeDocument/2006/relationships/chart" Target="charts/chart18.xml"/><Relationship Id="rId33" Type="http://schemas.openxmlformats.org/officeDocument/2006/relationships/chart" Target="charts/chart17.xml"/><Relationship Id="rId32" Type="http://schemas.openxmlformats.org/officeDocument/2006/relationships/chart" Target="charts/chart16.xml"/><Relationship Id="rId31" Type="http://schemas.openxmlformats.org/officeDocument/2006/relationships/chart" Target="charts/chart15.xml"/><Relationship Id="rId30" Type="http://schemas.openxmlformats.org/officeDocument/2006/relationships/chart" Target="charts/chart14.xml"/><Relationship Id="rId3" Type="http://schemas.openxmlformats.org/officeDocument/2006/relationships/header" Target="header1.xml"/><Relationship Id="rId29" Type="http://schemas.openxmlformats.org/officeDocument/2006/relationships/chart" Target="charts/chart13.xml"/><Relationship Id="rId28" Type="http://schemas.openxmlformats.org/officeDocument/2006/relationships/chart" Target="charts/chart12.xml"/><Relationship Id="rId27" Type="http://schemas.openxmlformats.org/officeDocument/2006/relationships/chart" Target="charts/chart11.xml"/><Relationship Id="rId26" Type="http://schemas.openxmlformats.org/officeDocument/2006/relationships/chart" Target="charts/chart10.xml"/><Relationship Id="rId25" Type="http://schemas.openxmlformats.org/officeDocument/2006/relationships/chart" Target="charts/chart9.xml"/><Relationship Id="rId24" Type="http://schemas.openxmlformats.org/officeDocument/2006/relationships/chart" Target="charts/chart8.xml"/><Relationship Id="rId23" Type="http://schemas.openxmlformats.org/officeDocument/2006/relationships/chart" Target="charts/chart7.xml"/><Relationship Id="rId22" Type="http://schemas.openxmlformats.org/officeDocument/2006/relationships/chart" Target="charts/chart6.xml"/><Relationship Id="rId21" Type="http://schemas.openxmlformats.org/officeDocument/2006/relationships/chart" Target="charts/chart5.xml"/><Relationship Id="rId20" Type="http://schemas.openxmlformats.org/officeDocument/2006/relationships/chart" Target="charts/chart4.xml"/><Relationship Id="rId2" Type="http://schemas.openxmlformats.org/officeDocument/2006/relationships/settings" Target="settings.xml"/><Relationship Id="rId19" Type="http://schemas.openxmlformats.org/officeDocument/2006/relationships/chart" Target="charts/chart3.xml"/><Relationship Id="rId18" Type="http://schemas.openxmlformats.org/officeDocument/2006/relationships/chart" Target="charts/chart2.xml"/><Relationship Id="rId17" Type="http://schemas.openxmlformats.org/officeDocument/2006/relationships/chart" Target="charts/chart1.xml"/><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0&#35843;&#26597;\&#25968;&#25454;\&#27743;&#35199;-&#20174;&#19994;.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020&#35843;&#26597;\&#25968;&#25454;\&#27743;&#35199;-&#20174;&#19994;.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020&#35843;&#26597;\2020&#35843;&#26597;&#27963;&#21160;\&#27743;&#35199;&#30465;\(&#20174;&#19994;&#20154;&#21592;&#29256;)2020&#24180;&#27743;&#35199;&#30465;&#32593;&#27665;&#32593;&#32476;&#23433;&#20840;&#24863;&#28385;&#24847;&#24230;&#35843;&#26597;&#32479;&#35745;&#25968;&#25454;&#34920;.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020&#35843;&#26597;\2020&#35843;&#26597;&#27963;&#21160;\&#27743;&#35199;&#30465;\(&#20174;&#19994;&#20154;&#21592;&#29256;)2020&#24180;&#27743;&#35199;&#30465;&#32593;&#27665;&#32593;&#32476;&#23433;&#20840;&#24863;&#28385;&#24847;&#24230;&#35843;&#26597;&#32479;&#35745;&#25968;&#25454;&#3492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020&#35843;&#26597;\2020&#35843;&#26597;&#27963;&#21160;\&#27743;&#35199;&#30465;\(&#20174;&#19994;&#20154;&#21592;&#29256;)2020&#24180;&#27743;&#35199;&#30465;&#32593;&#27665;&#32593;&#32476;&#23433;&#20840;&#24863;&#28385;&#24847;&#24230;&#35843;&#26597;&#32479;&#35745;&#25968;&#25454;&#34920;.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020&#35843;&#26597;\2020&#35843;&#26597;&#27963;&#21160;\&#27743;&#35199;&#30465;\(&#20174;&#19994;&#20154;&#21592;&#29256;)2020&#24180;&#27743;&#35199;&#30465;&#32593;&#27665;&#32593;&#32476;&#23433;&#20840;&#24863;&#28385;&#24847;&#24230;&#35843;&#26597;&#32479;&#35745;&#25968;&#25454;&#34920;.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020&#35843;&#26597;\2020&#35843;&#26597;&#27963;&#21160;\&#27743;&#35199;&#30465;\(&#20174;&#19994;&#20154;&#21592;&#29256;)2020&#24180;&#27743;&#35199;&#30465;&#32593;&#27665;&#32593;&#32476;&#23433;&#20840;&#24863;&#28385;&#24847;&#24230;&#35843;&#26597;&#32479;&#35745;&#25968;&#25454;&#3492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020&#35843;&#26597;\2020&#35843;&#26597;&#27963;&#21160;\&#27743;&#35199;&#30465;\(&#20174;&#19994;&#20154;&#21592;&#29256;)2020&#24180;&#27743;&#35199;&#30465;&#32593;&#27665;&#32593;&#32476;&#23433;&#20840;&#24863;&#28385;&#24847;&#24230;&#35843;&#26597;&#32479;&#35745;&#25968;&#25454;&#3492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020&#35843;&#26597;\2020&#35843;&#26597;&#27963;&#21160;\&#27743;&#35199;&#30465;\(&#20174;&#19994;&#20154;&#21592;&#29256;)2020&#24180;&#27743;&#35199;&#30465;&#32593;&#27665;&#32593;&#32476;&#23433;&#20840;&#24863;&#28385;&#24847;&#24230;&#35843;&#26597;&#32479;&#35745;&#25968;&#25454;&#3492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020&#35843;&#26597;\2020&#35843;&#26597;&#27963;&#21160;\&#27743;&#35199;&#30465;\(&#20174;&#19994;&#20154;&#21592;&#29256;)2020&#24180;&#27743;&#35199;&#30465;&#32593;&#27665;&#32593;&#32476;&#23433;&#20840;&#24863;&#28385;&#24847;&#24230;&#35843;&#26597;&#32479;&#35745;&#25968;&#25454;&#3492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020&#35843;&#26597;\2020&#35843;&#26597;&#27963;&#21160;\&#27743;&#35199;&#30465;\(&#20174;&#19994;&#20154;&#21592;&#29256;)2020&#24180;&#27743;&#35199;&#30465;&#32593;&#27665;&#32593;&#32476;&#23433;&#20840;&#24863;&#28385;&#24847;&#24230;&#35843;&#26597;&#32479;&#35745;&#25968;&#25454;&#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0&#35843;&#26597;\&#25968;&#25454;\&#27743;&#35199;-&#20174;&#19994;.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020&#35843;&#26597;\&#25968;&#25454;\&#27743;&#35199;-&#20174;&#19994;.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2020&#35843;&#26597;\&#25968;&#25454;\&#27743;&#35199;-&#20174;&#19994;.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0&#35843;&#26597;\2020&#35843;&#26597;&#27963;&#21160;\&#27743;&#35199;&#30465;\(&#20174;&#19994;&#20154;&#21592;&#29256;)2020&#24180;&#27743;&#35199;&#30465;&#32593;&#27665;&#32593;&#32476;&#23433;&#20840;&#24863;&#28385;&#24847;&#24230;&#35843;&#26597;&#32479;&#35745;&#25968;&#25454;&#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0&#35843;&#26597;\&#25968;&#25454;\&#27743;&#35199;-&#20174;&#19994;.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0&#35843;&#26597;\&#25968;&#25454;\&#27743;&#35199;-&#20174;&#19994;.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2020&#35843;&#26597;\&#25968;&#25454;\&#27743;&#35199;-&#20174;&#19994;.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2020&#35843;&#26597;\&#25968;&#25454;\&#27743;&#35199;-&#20174;&#19994;.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020&#35843;&#26597;\&#25968;&#25454;\&#27743;&#35199;-&#20174;&#19994;.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0&#35843;&#26597;\&#25968;&#25454;\&#27743;&#35199;-&#20174;&#1999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从业人员网民性别分布图</a:t>
            </a:r>
            <a:endParaRPr lang="zh-CN" altLang="en-US"/>
          </a:p>
        </c:rich>
      </c:tx>
      <c:layout/>
      <c:overlay val="0"/>
      <c:spPr>
        <a:noFill/>
        <a:ln>
          <a:noFill/>
        </a:ln>
        <a:effectLst/>
      </c:spPr>
    </c:title>
    <c:autoTitleDeleted val="0"/>
    <c:plotArea>
      <c:layout/>
      <c:pieChart>
        <c:varyColors val="1"/>
        <c:ser>
          <c:idx val="0"/>
          <c:order val="0"/>
          <c:tx>
            <c:strRef>
              <c:f>'[江西-从业.xlsx]主问卷'!$C$3:$C$4</c:f>
              <c:strCache>
                <c:ptCount val="1"/>
                <c:pt idx="0">
                  <c:v>您的性别： 江西占比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男，</a:t>
                    </a:r>
                    <a:r>
                      <a:rPr lang="en-US" altLang="zh-CN"/>
                      <a:t>65.04%</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女，</a:t>
                    </a:r>
                    <a:r>
                      <a:rPr lang="en-US" altLang="zh-CN"/>
                      <a:t>34.96%</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'[江西-从业.xlsx]主问卷'!$B$5:$B$6</c:f>
              <c:strCache>
                <c:ptCount val="2"/>
                <c:pt idx="0">
                  <c:v>男</c:v>
                </c:pt>
                <c:pt idx="1">
                  <c:v>女</c:v>
                </c:pt>
              </c:strCache>
            </c:strRef>
          </c:cat>
          <c:val>
            <c:numRef>
              <c:f>'[江西-从业.xlsx]主问卷'!$C$5:$C$6</c:f>
              <c:numCache>
                <c:formatCode>0.00%</c:formatCode>
                <c:ptCount val="2"/>
                <c:pt idx="0">
                  <c:v>0.6504</c:v>
                </c:pt>
                <c:pt idx="1">
                  <c:v>0.3496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从业人员网民安全感评价分布图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"江西"</c:f>
              <c:strCache>
                <c:ptCount val="1"/>
                <c:pt idx="0">
                  <c:v>江西</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'[江西-从业.xlsx]主问卷'!$B$63:$B$67</c:f>
              <c:strCache>
                <c:ptCount val="5"/>
                <c:pt idx="0">
                  <c:v>明显改善</c:v>
                </c:pt>
                <c:pt idx="1">
                  <c:v>略有改善</c:v>
                </c:pt>
                <c:pt idx="2">
                  <c:v>没有变化</c:v>
                </c:pt>
                <c:pt idx="3">
                  <c:v>略有恶化</c:v>
                </c:pt>
                <c:pt idx="4">
                  <c:v>明显恶化</c:v>
                </c:pt>
              </c:strCache>
            </c:strRef>
          </c:cat>
          <c:val>
            <c:numRef>
              <c:f>'[江西-从业.xlsx]主问卷'!$C$63:$C$67</c:f>
              <c:numCache>
                <c:formatCode>0.00%</c:formatCode>
                <c:ptCount val="5"/>
                <c:pt idx="0">
                  <c:v>0.2135</c:v>
                </c:pt>
                <c:pt idx="1">
                  <c:v>0.4607</c:v>
                </c:pt>
                <c:pt idx="2">
                  <c:v>0.1835</c:v>
                </c:pt>
                <c:pt idx="3">
                  <c:v>0.0936</c:v>
                </c:pt>
                <c:pt idx="4">
                  <c:v>0.0487</c:v>
                </c:pt>
              </c:numCache>
            </c:numRef>
          </c:val>
        </c:ser>
        <c:ser>
          <c:idx val="1"/>
          <c:order val="1"/>
          <c:tx>
            <c:strRef>
              <c:f>"全国"</c:f>
              <c:strCache>
                <c:ptCount val="1"/>
                <c:pt idx="0">
                  <c:v>全国</c:v>
                </c:pt>
              </c:strCache>
            </c:strRef>
          </c:tx>
          <c:spPr>
            <a:solidFill>
              <a:schemeClr val="accent2"/>
            </a:solidFill>
            <a:ln>
              <a:noFill/>
            </a:ln>
            <a:effectLst/>
          </c:spPr>
          <c:invertIfNegative val="0"/>
          <c:dLbls>
            <c:dLbl>
              <c:idx val="2"/>
              <c:layout>
                <c:manualLayout>
                  <c:x val="0.00978901476021218"/>
                  <c:y val="-0.002181684693118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'[江西-从业.xlsx]主问卷'!$B$63:$B$67</c:f>
              <c:strCache>
                <c:ptCount val="5"/>
                <c:pt idx="0">
                  <c:v>明显改善</c:v>
                </c:pt>
                <c:pt idx="1">
                  <c:v>略有改善</c:v>
                </c:pt>
                <c:pt idx="2">
                  <c:v>没有变化</c:v>
                </c:pt>
                <c:pt idx="3">
                  <c:v>略有恶化</c:v>
                </c:pt>
                <c:pt idx="4">
                  <c:v>明显恶化</c:v>
                </c:pt>
              </c:strCache>
            </c:strRef>
          </c:cat>
          <c:val>
            <c:numRef>
              <c:f>'[江西-从业.xlsx]主问卷'!$D$63:$D$67</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75"/>
        <c:overlap val="-25"/>
        <c:axId val="496402075"/>
        <c:axId val="281325196"/>
      </c:barChart>
      <c:catAx>
        <c:axId val="49640207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1325196"/>
        <c:crosses val="autoZero"/>
        <c:auto val="1"/>
        <c:lblAlgn val="ctr"/>
        <c:lblOffset val="100"/>
        <c:noMultiLvlLbl val="0"/>
      </c:catAx>
      <c:valAx>
        <c:axId val="2813251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4020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在工作中最常面对的网络安全威胁遇到率</a:t>
            </a:r>
            <a:endParaRPr lang="zh-CN" altLang="en-US"/>
          </a:p>
        </c:rich>
      </c:tx>
      <c:layout/>
      <c:overlay val="0"/>
      <c:spPr>
        <a:noFill/>
        <a:ln>
          <a:noFill/>
        </a:ln>
        <a:effectLst/>
      </c:spPr>
    </c:title>
    <c:autoTitleDeleted val="0"/>
    <c:plotArea>
      <c:layout>
        <c:manualLayout>
          <c:layoutTarget val="inner"/>
          <c:xMode val="edge"/>
          <c:yMode val="edge"/>
          <c:x val="0.158772861356932"/>
          <c:y val="0.139878366637706"/>
          <c:w val="0.797687315634218"/>
          <c:h val="0.667984361424848"/>
        </c:manualLayout>
      </c:layout>
      <c:barChart>
        <c:barDir val="bar"/>
        <c:grouping val="clustered"/>
        <c:varyColors val="0"/>
        <c:ser>
          <c:idx val="0"/>
          <c:order val="0"/>
          <c:tx>
            <c:strRef>
              <c:f>'[(从业人员版)2020年江西省网民网络安全感满意度调查统计数据表.xlsx]主问卷'!$C$71</c:f>
              <c:strCache>
                <c:ptCount val="1"/>
                <c:pt idx="0">
                  <c:v>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'[(从业人员版)2020年江西省网民网络安全感满意度调查统计数据表.xlsx]主问卷'!$B$72:$B$77</c:f>
              <c:strCache>
                <c:ptCount val="6"/>
                <c:pt idx="0">
                  <c:v>其他</c:v>
                </c:pt>
                <c:pt idx="1">
                  <c:v>不清楚</c:v>
                </c:pt>
                <c:pt idx="2">
                  <c:v>恶意程序</c:v>
                </c:pt>
                <c:pt idx="3">
                  <c:v>安全隐患</c:v>
                </c:pt>
                <c:pt idx="4">
                  <c:v>安全事件</c:v>
                </c:pt>
                <c:pt idx="5">
                  <c:v>恶意网络资源</c:v>
                </c:pt>
              </c:strCache>
            </c:strRef>
          </c:cat>
          <c:val>
            <c:numRef>
              <c:f>'[(从业人员版)2020年江西省网民网络安全感满意度调查统计数据表.xlsx]主问卷'!$C$72:$C$77</c:f>
              <c:numCache>
                <c:formatCode>0.00%</c:formatCode>
                <c:ptCount val="6"/>
                <c:pt idx="0">
                  <c:v>0.0712</c:v>
                </c:pt>
                <c:pt idx="1">
                  <c:v>0.0849</c:v>
                </c:pt>
                <c:pt idx="2">
                  <c:v>0.4619</c:v>
                </c:pt>
                <c:pt idx="3">
                  <c:v>0.5019</c:v>
                </c:pt>
                <c:pt idx="4">
                  <c:v>0.5106</c:v>
                </c:pt>
                <c:pt idx="5">
                  <c:v>0.5156</c:v>
                </c:pt>
              </c:numCache>
            </c:numRef>
          </c:val>
        </c:ser>
        <c:ser>
          <c:idx val="1"/>
          <c:order val="1"/>
          <c:tx>
            <c:strRef>
              <c:f>'[(从业人员版)2020年江西省网民网络安全感满意度调查统计数据表.xlsx]主问卷'!$D$71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'[(从业人员版)2020年江西省网民网络安全感满意度调查统计数据表.xlsx]主问卷'!$B$72:$B$77</c:f>
              <c:strCache>
                <c:ptCount val="6"/>
                <c:pt idx="0">
                  <c:v>其他</c:v>
                </c:pt>
                <c:pt idx="1">
                  <c:v>不清楚</c:v>
                </c:pt>
                <c:pt idx="2">
                  <c:v>恶意程序</c:v>
                </c:pt>
                <c:pt idx="3">
                  <c:v>安全隐患</c:v>
                </c:pt>
                <c:pt idx="4">
                  <c:v>安全事件</c:v>
                </c:pt>
                <c:pt idx="5">
                  <c:v>恶意网络资源</c:v>
                </c:pt>
              </c:strCache>
            </c:strRef>
          </c:cat>
          <c:val>
            <c:numRef>
              <c:f>'[(从业人员版)2020年江西省网民网络安全感满意度调查统计数据表.xlsx]主问卷'!$D$72:$D$77</c:f>
              <c:numCache>
                <c:formatCode>0.00%</c:formatCode>
                <c:ptCount val="6"/>
                <c:pt idx="0">
                  <c:v>0.1014</c:v>
                </c:pt>
                <c:pt idx="1">
                  <c:v>0.1729</c:v>
                </c:pt>
                <c:pt idx="2">
                  <c:v>0.4148</c:v>
                </c:pt>
                <c:pt idx="3">
                  <c:v>0.4342</c:v>
                </c:pt>
                <c:pt idx="4">
                  <c:v>0.3882</c:v>
                </c:pt>
                <c:pt idx="5">
                  <c:v>0.3971</c:v>
                </c:pt>
              </c:numCache>
            </c:numRef>
          </c:val>
        </c:ser>
        <c:dLbls>
          <c:showLegendKey val="0"/>
          <c:showVal val="1"/>
          <c:showCatName val="0"/>
          <c:showSerName val="0"/>
          <c:showPercent val="0"/>
          <c:showBubbleSize val="0"/>
        </c:dLbls>
        <c:gapWidth val="182"/>
        <c:axId val="641042283"/>
        <c:axId val="318618882"/>
      </c:barChart>
      <c:catAx>
        <c:axId val="64104228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618882"/>
        <c:crosses val="autoZero"/>
        <c:auto val="1"/>
        <c:lblAlgn val="ctr"/>
        <c:lblOffset val="100"/>
        <c:noMultiLvlLbl val="0"/>
      </c:catAx>
      <c:valAx>
        <c:axId val="31861888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104228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网络安全事件出现的主要原因分布图</a:t>
            </a:r>
            <a:endParaRPr lang="zh-CN" altLang="en-US"/>
          </a:p>
        </c:rich>
      </c:tx>
      <c:layout/>
      <c:overlay val="0"/>
      <c:spPr>
        <a:noFill/>
        <a:ln>
          <a:noFill/>
        </a:ln>
        <a:effectLst/>
      </c:spPr>
    </c:title>
    <c:autoTitleDeleted val="0"/>
    <c:plotArea>
      <c:layout>
        <c:manualLayout>
          <c:layoutTarget val="inner"/>
          <c:xMode val="edge"/>
          <c:yMode val="edge"/>
          <c:x val="0.318027584523374"/>
          <c:y val="0.0675434116445352"/>
          <c:w val="0.645477846942512"/>
          <c:h val="0.825510725229826"/>
        </c:manualLayout>
      </c:layout>
      <c:barChart>
        <c:barDir val="bar"/>
        <c:grouping val="clustered"/>
        <c:varyColors val="0"/>
        <c:ser>
          <c:idx val="0"/>
          <c:order val="0"/>
          <c:tx>
            <c:strRef>
              <c:f>'[(从业人员版)2020年江西省网民网络安全感满意度调查统计数据表.xlsx]主问卷'!$C$81</c:f>
              <c:strCache>
                <c:ptCount val="1"/>
                <c:pt idx="0">
                  <c:v>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'[(从业人员版)2020年江西省网民网络安全感满意度调查统计数据表.xlsx]主问卷'!$B$82:$B$92</c:f>
              <c:strCache>
                <c:ptCount val="11"/>
                <c:pt idx="0">
                  <c:v>其他</c:v>
                </c:pt>
                <c:pt idx="1">
                  <c:v>物理环境影响</c:v>
                </c:pt>
                <c:pt idx="2">
                  <c:v>软硬件故障</c:v>
                </c:pt>
                <c:pt idx="3">
                  <c:v>缺少对突发事件的对策和计划</c:v>
                </c:pt>
                <c:pt idx="4">
                  <c:v>管理层缺乏安全意识</c:v>
                </c:pt>
                <c:pt idx="5">
                  <c:v>员工缺乏安全培训</c:v>
                </c:pt>
                <c:pt idx="6">
                  <c:v>网络安全人才和资金投入不足</c:v>
                </c:pt>
                <c:pt idx="7">
                  <c:v>内部威胁</c:v>
                </c:pt>
                <c:pt idx="8">
                  <c:v>对第三方与供应商管理不到位</c:v>
                </c:pt>
                <c:pt idx="9">
                  <c:v>攻击威胁</c:v>
                </c:pt>
                <c:pt idx="10">
                  <c:v>缺少管理和风险评估机制</c:v>
                </c:pt>
              </c:strCache>
            </c:strRef>
          </c:cat>
          <c:val>
            <c:numRef>
              <c:f>'[(从业人员版)2020年江西省网民网络安全感满意度调查统计数据表.xlsx]主问卷'!$C$82:$C$92</c:f>
              <c:numCache>
                <c:formatCode>0.00%</c:formatCode>
                <c:ptCount val="11"/>
                <c:pt idx="0">
                  <c:v>0.0624</c:v>
                </c:pt>
                <c:pt idx="1">
                  <c:v>0.1423</c:v>
                </c:pt>
                <c:pt idx="2">
                  <c:v>0.1873</c:v>
                </c:pt>
                <c:pt idx="3">
                  <c:v>0.3034</c:v>
                </c:pt>
                <c:pt idx="4">
                  <c:v>0.3408</c:v>
                </c:pt>
                <c:pt idx="5">
                  <c:v>0.3596</c:v>
                </c:pt>
                <c:pt idx="6">
                  <c:v>0.3645</c:v>
                </c:pt>
                <c:pt idx="7">
                  <c:v>0.372</c:v>
                </c:pt>
                <c:pt idx="8">
                  <c:v>0.3908</c:v>
                </c:pt>
                <c:pt idx="9">
                  <c:v>0.4257</c:v>
                </c:pt>
                <c:pt idx="10">
                  <c:v>0.5868</c:v>
                </c:pt>
              </c:numCache>
            </c:numRef>
          </c:val>
        </c:ser>
        <c:ser>
          <c:idx val="1"/>
          <c:order val="1"/>
          <c:tx>
            <c:strRef>
              <c:f>'[(从业人员版)2020年江西省网民网络安全感满意度调查统计数据表.xlsx]主问卷'!$D$81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'[(从业人员版)2020年江西省网民网络安全感满意度调查统计数据表.xlsx]主问卷'!$B$82:$B$92</c:f>
              <c:strCache>
                <c:ptCount val="11"/>
                <c:pt idx="0">
                  <c:v>其他</c:v>
                </c:pt>
                <c:pt idx="1">
                  <c:v>物理环境影响</c:v>
                </c:pt>
                <c:pt idx="2">
                  <c:v>软硬件故障</c:v>
                </c:pt>
                <c:pt idx="3">
                  <c:v>缺少对突发事件的对策和计划</c:v>
                </c:pt>
                <c:pt idx="4">
                  <c:v>管理层缺乏安全意识</c:v>
                </c:pt>
                <c:pt idx="5">
                  <c:v>员工缺乏安全培训</c:v>
                </c:pt>
                <c:pt idx="6">
                  <c:v>网络安全人才和资金投入不足</c:v>
                </c:pt>
                <c:pt idx="7">
                  <c:v>内部威胁</c:v>
                </c:pt>
                <c:pt idx="8">
                  <c:v>对第三方与供应商管理不到位</c:v>
                </c:pt>
                <c:pt idx="9">
                  <c:v>攻击威胁</c:v>
                </c:pt>
                <c:pt idx="10">
                  <c:v>缺少管理和风险评估机制</c:v>
                </c:pt>
              </c:strCache>
            </c:strRef>
          </c:cat>
          <c:val>
            <c:numRef>
              <c:f>'[(从业人员版)2020年江西省网民网络安全感满意度调查统计数据表.xlsx]主问卷'!$D$82:$D$92</c:f>
              <c:numCache>
                <c:formatCode>0.00%</c:formatCode>
                <c:ptCount val="11"/>
                <c:pt idx="0">
                  <c:v>0.1138</c:v>
                </c:pt>
                <c:pt idx="1">
                  <c:v>0.1217</c:v>
                </c:pt>
                <c:pt idx="2">
                  <c:v>0.2099</c:v>
                </c:pt>
                <c:pt idx="3">
                  <c:v>0.2419</c:v>
                </c:pt>
                <c:pt idx="4">
                  <c:v>0.2371</c:v>
                </c:pt>
                <c:pt idx="5">
                  <c:v>0.337</c:v>
                </c:pt>
                <c:pt idx="6">
                  <c:v>0.3096</c:v>
                </c:pt>
                <c:pt idx="7">
                  <c:v>0.2656</c:v>
                </c:pt>
                <c:pt idx="8">
                  <c:v>0.3494</c:v>
                </c:pt>
                <c:pt idx="9">
                  <c:v>0.3869</c:v>
                </c:pt>
                <c:pt idx="10">
                  <c:v>0.4877</c:v>
                </c:pt>
              </c:numCache>
            </c:numRef>
          </c:val>
        </c:ser>
        <c:dLbls>
          <c:showLegendKey val="0"/>
          <c:showVal val="1"/>
          <c:showCatName val="0"/>
          <c:showSerName val="0"/>
          <c:showPercent val="0"/>
          <c:showBubbleSize val="0"/>
        </c:dLbls>
        <c:gapWidth val="182"/>
        <c:axId val="999050490"/>
        <c:axId val="852661588"/>
      </c:barChart>
      <c:catAx>
        <c:axId val="99905049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2661588"/>
        <c:crosses val="autoZero"/>
        <c:auto val="1"/>
        <c:lblAlgn val="ctr"/>
        <c:lblOffset val="100"/>
        <c:noMultiLvlLbl val="0"/>
      </c:catAx>
      <c:valAx>
        <c:axId val="8526615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905049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互联网黑灰产业活跃情况评价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'[(从业人员版)2020年江西省网民网络安全感满意度调查统计数据表.xlsx]主问卷'!$C$96</c:f>
              <c:strCache>
                <c:ptCount val="1"/>
                <c:pt idx="0">
                  <c:v>江西占比</c:v>
                </c:pt>
              </c:strCache>
            </c:strRef>
          </c:tx>
          <c:spPr>
            <a:solidFill>
              <a:schemeClr val="accent1"/>
            </a:solidFill>
            <a:ln>
              <a:noFill/>
            </a:ln>
            <a:effectLst/>
          </c:spPr>
          <c:invertIfNegative val="0"/>
          <c:dLbls>
            <c:dLbl>
              <c:idx val="4"/>
              <c:layout>
                <c:manualLayout>
                  <c:x val="-0.0110919398570372"/>
                  <c:y val="0.01524390243902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10919398570372"/>
                  <c:y val="0.02134146341463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'[(从业人员版)2020年江西省网民网络安全感满意度调查统计数据表.xlsx]主问卷'!$B$97:$B$102</c:f>
              <c:strCache>
                <c:ptCount val="6"/>
                <c:pt idx="0">
                  <c:v>明显增加</c:v>
                </c:pt>
                <c:pt idx="1">
                  <c:v>略有增加</c:v>
                </c:pt>
                <c:pt idx="2">
                  <c:v>没有变化</c:v>
                </c:pt>
                <c:pt idx="3">
                  <c:v>略有减少</c:v>
                </c:pt>
                <c:pt idx="4">
                  <c:v>明显减少</c:v>
                </c:pt>
                <c:pt idx="5">
                  <c:v>不了解</c:v>
                </c:pt>
              </c:strCache>
            </c:strRef>
          </c:cat>
          <c:val>
            <c:numRef>
              <c:f>'[(从业人员版)2020年江西省网民网络安全感满意度调查统计数据表.xlsx]主问卷'!$C$97:$C$102</c:f>
              <c:numCache>
                <c:formatCode>0.00%</c:formatCode>
                <c:ptCount val="6"/>
                <c:pt idx="0">
                  <c:v>0.2447</c:v>
                </c:pt>
                <c:pt idx="1">
                  <c:v>0.2335</c:v>
                </c:pt>
                <c:pt idx="2">
                  <c:v>0.0899</c:v>
                </c:pt>
                <c:pt idx="3">
                  <c:v>0.2097</c:v>
                </c:pt>
                <c:pt idx="4">
                  <c:v>0.1086</c:v>
                </c:pt>
                <c:pt idx="5">
                  <c:v>0.1136</c:v>
                </c:pt>
              </c:numCache>
            </c:numRef>
          </c:val>
        </c:ser>
        <c:ser>
          <c:idx val="1"/>
          <c:order val="1"/>
          <c:tx>
            <c:strRef>
              <c:f>'[(从业人员版)2020年江西省网民网络安全感满意度调查统计数据表.xlsx]主问卷'!$D$96</c:f>
              <c:strCache>
                <c:ptCount val="1"/>
                <c:pt idx="0">
                  <c:v>全国占比</c:v>
                </c:pt>
              </c:strCache>
            </c:strRef>
          </c:tx>
          <c:spPr>
            <a:solidFill>
              <a:schemeClr val="accent2"/>
            </a:solidFill>
            <a:ln>
              <a:noFill/>
            </a:ln>
            <a:effectLst/>
          </c:spPr>
          <c:invertIfNegative val="0"/>
          <c:dLbls>
            <c:dLbl>
              <c:idx val="0"/>
              <c:layout>
                <c:manualLayout>
                  <c:x val="0.0166379097855558"/>
                  <c:y val="0.01219512195121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1838797140744"/>
                  <c:y val="0.018292682926829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81094404732561"/>
                      <c:h val="0.041869918699187"/>
                    </c:manualLayout>
                  </c15:layout>
                </c:ext>
              </c:extLst>
            </c:dLbl>
            <c:dLbl>
              <c:idx val="2"/>
              <c:layout>
                <c:manualLayout>
                  <c:x val="0"/>
                  <c:y val="0.0243902439024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9405964998768"/>
                  <c:y val="0.01219512195121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'[(从业人员版)2020年江西省网民网络安全感满意度调查统计数据表.xlsx]主问卷'!$B$97:$B$102</c:f>
              <c:strCache>
                <c:ptCount val="6"/>
                <c:pt idx="0">
                  <c:v>明显增加</c:v>
                </c:pt>
                <c:pt idx="1">
                  <c:v>略有增加</c:v>
                </c:pt>
                <c:pt idx="2">
                  <c:v>没有变化</c:v>
                </c:pt>
                <c:pt idx="3">
                  <c:v>略有减少</c:v>
                </c:pt>
                <c:pt idx="4">
                  <c:v>明显减少</c:v>
                </c:pt>
                <c:pt idx="5">
                  <c:v>不了解</c:v>
                </c:pt>
              </c:strCache>
            </c:strRef>
          </c:cat>
          <c:val>
            <c:numRef>
              <c:f>'[(从业人员版)2020年江西省网民网络安全感满意度调查统计数据表.xlsx]主问卷'!$D$97:$D$102</c:f>
              <c:numCache>
                <c:formatCode>0.00%</c:formatCode>
                <c:ptCount val="6"/>
                <c:pt idx="0">
                  <c:v>0.1909</c:v>
                </c:pt>
                <c:pt idx="1">
                  <c:v>0.2142</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680758302"/>
        <c:axId val="686732945"/>
      </c:barChart>
      <c:catAx>
        <c:axId val="6807583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6732945"/>
        <c:crosses val="autoZero"/>
        <c:auto val="1"/>
        <c:lblAlgn val="ctr"/>
        <c:lblOffset val="100"/>
        <c:noMultiLvlLbl val="0"/>
      </c:catAx>
      <c:valAx>
        <c:axId val="68673294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07583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常见的黑灰产业犯罪手法分布图</a:t>
            </a:r>
          </a:p>
        </c:rich>
      </c:tx>
      <c:layout/>
      <c:overlay val="0"/>
      <c:spPr>
        <a:noFill/>
        <a:ln>
          <a:noFill/>
        </a:ln>
        <a:effectLst/>
      </c:spPr>
    </c:title>
    <c:autoTitleDeleted val="0"/>
    <c:plotArea>
      <c:layout>
        <c:manualLayout>
          <c:layoutTarget val="inner"/>
          <c:xMode val="edge"/>
          <c:yMode val="edge"/>
          <c:x val="0.171782115065697"/>
          <c:y val="0.0724762726488352"/>
          <c:w val="0.781145554279883"/>
          <c:h val="0.81110152430256"/>
        </c:manualLayout>
      </c:layout>
      <c:barChart>
        <c:barDir val="bar"/>
        <c:grouping val="clustered"/>
        <c:varyColors val="0"/>
        <c:ser>
          <c:idx val="0"/>
          <c:order val="0"/>
          <c:tx>
            <c:strRef>
              <c:f>'[(从业人员版)2020年江西省网民网络安全感满意度调查统计数据表.xlsx]主问卷'!$C$106</c:f>
              <c:strCache>
                <c:ptCount val="1"/>
                <c:pt idx="0">
                  <c:v>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'[(从业人员版)2020年江西省网民网络安全感满意度调查统计数据表.xlsx]主问卷'!$B$107:$B$115</c:f>
              <c:strCache>
                <c:ptCount val="9"/>
                <c:pt idx="0">
                  <c:v>其他</c:v>
                </c:pt>
                <c:pt idx="1">
                  <c:v>“杀猪盘”</c:v>
                </c:pt>
                <c:pt idx="2">
                  <c:v>肉鸡挖矿</c:v>
                </c:pt>
                <c:pt idx="3">
                  <c:v>DDOS攻击</c:v>
                </c:pt>
                <c:pt idx="4">
                  <c:v>勒索病毒</c:v>
                </c:pt>
                <c:pt idx="5">
                  <c:v>暗扣话费</c:v>
                </c:pt>
                <c:pt idx="6">
                  <c:v>手机应用分发</c:v>
                </c:pt>
                <c:pt idx="7">
                  <c:v>“薅羊毛”</c:v>
                </c:pt>
                <c:pt idx="8">
                  <c:v>虚假流量</c:v>
                </c:pt>
              </c:strCache>
            </c:strRef>
          </c:cat>
          <c:val>
            <c:numRef>
              <c:f>'[(从业人员版)2020年江西省网民网络安全感满意度调查统计数据表.xlsx]主问卷'!$C$107:$C$115</c:f>
              <c:numCache>
                <c:formatCode>0.00%</c:formatCode>
                <c:ptCount val="9"/>
                <c:pt idx="0">
                  <c:v>0.0737</c:v>
                </c:pt>
                <c:pt idx="1">
                  <c:v>0.2235</c:v>
                </c:pt>
                <c:pt idx="2">
                  <c:v>0.2247</c:v>
                </c:pt>
                <c:pt idx="3">
                  <c:v>0.2434</c:v>
                </c:pt>
                <c:pt idx="4">
                  <c:v>0.3483</c:v>
                </c:pt>
                <c:pt idx="5">
                  <c:v>0.367</c:v>
                </c:pt>
                <c:pt idx="6">
                  <c:v>0.3808</c:v>
                </c:pt>
                <c:pt idx="7">
                  <c:v>0.4145</c:v>
                </c:pt>
                <c:pt idx="8">
                  <c:v>0.5006</c:v>
                </c:pt>
              </c:numCache>
            </c:numRef>
          </c:val>
        </c:ser>
        <c:ser>
          <c:idx val="1"/>
          <c:order val="1"/>
          <c:tx>
            <c:strRef>
              <c:f>'[(从业人员版)2020年江西省网民网络安全感满意度调查统计数据表.xlsx]主问卷'!$D$106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'[(从业人员版)2020年江西省网民网络安全感满意度调查统计数据表.xlsx]主问卷'!$B$107:$B$115</c:f>
              <c:strCache>
                <c:ptCount val="9"/>
                <c:pt idx="0">
                  <c:v>其他</c:v>
                </c:pt>
                <c:pt idx="1">
                  <c:v>“杀猪盘”</c:v>
                </c:pt>
                <c:pt idx="2">
                  <c:v>肉鸡挖矿</c:v>
                </c:pt>
                <c:pt idx="3">
                  <c:v>DDOS攻击</c:v>
                </c:pt>
                <c:pt idx="4">
                  <c:v>勒索病毒</c:v>
                </c:pt>
                <c:pt idx="5">
                  <c:v>暗扣话费</c:v>
                </c:pt>
                <c:pt idx="6">
                  <c:v>手机应用分发</c:v>
                </c:pt>
                <c:pt idx="7">
                  <c:v>“薅羊毛”</c:v>
                </c:pt>
                <c:pt idx="8">
                  <c:v>虚假流量</c:v>
                </c:pt>
              </c:strCache>
            </c:strRef>
          </c:cat>
          <c:val>
            <c:numRef>
              <c:f>'[(从业人员版)2020年江西省网民网络安全感满意度调查统计数据表.xlsx]主问卷'!$D$107:$D$115</c:f>
              <c:numCache>
                <c:formatCode>0.00%</c:formatCode>
                <c:ptCount val="9"/>
                <c:pt idx="0">
                  <c:v>0.1516</c:v>
                </c:pt>
                <c:pt idx="1">
                  <c:v>0.1713</c:v>
                </c:pt>
                <c:pt idx="2">
                  <c:v>0.142</c:v>
                </c:pt>
                <c:pt idx="3">
                  <c:v>0.1472</c:v>
                </c:pt>
                <c:pt idx="4">
                  <c:v>0.2744</c:v>
                </c:pt>
                <c:pt idx="5">
                  <c:v>0.3805</c:v>
                </c:pt>
                <c:pt idx="6">
                  <c:v>0.3842</c:v>
                </c:pt>
                <c:pt idx="7">
                  <c:v>0.257</c:v>
                </c:pt>
                <c:pt idx="8">
                  <c:v>0.4812</c:v>
                </c:pt>
              </c:numCache>
            </c:numRef>
          </c:val>
        </c:ser>
        <c:dLbls>
          <c:showLegendKey val="0"/>
          <c:showVal val="1"/>
          <c:showCatName val="0"/>
          <c:showSerName val="0"/>
          <c:showPercent val="0"/>
          <c:showBubbleSize val="0"/>
        </c:dLbls>
        <c:gapWidth val="182"/>
        <c:axId val="190772808"/>
        <c:axId val="693463217"/>
      </c:barChart>
      <c:catAx>
        <c:axId val="1907728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463217"/>
        <c:crosses val="autoZero"/>
        <c:auto val="1"/>
        <c:lblAlgn val="ctr"/>
        <c:lblOffset val="100"/>
        <c:noMultiLvlLbl val="0"/>
      </c:catAx>
      <c:valAx>
        <c:axId val="69346321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07728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刷流量网络水军现象屡禁不绝的原因</a:t>
            </a:r>
          </a:p>
        </c:rich>
      </c:tx>
      <c:layout/>
      <c:overlay val="0"/>
      <c:spPr>
        <a:noFill/>
        <a:ln>
          <a:noFill/>
        </a:ln>
        <a:effectLst/>
      </c:spPr>
    </c:title>
    <c:autoTitleDeleted val="0"/>
    <c:plotArea>
      <c:layout>
        <c:manualLayout>
          <c:layoutTarget val="inner"/>
          <c:xMode val="edge"/>
          <c:yMode val="edge"/>
          <c:x val="0.190915483054423"/>
          <c:y val="0.111219132801867"/>
          <c:w val="0.757193081141893"/>
          <c:h val="0.71716896752868"/>
        </c:manualLayout>
      </c:layout>
      <c:barChart>
        <c:barDir val="bar"/>
        <c:grouping val="clustered"/>
        <c:varyColors val="0"/>
        <c:ser>
          <c:idx val="0"/>
          <c:order val="0"/>
          <c:tx>
            <c:strRef>
              <c:f>'[(从业人员版)2020年江西省网民网络安全感满意度调查统计数据表.xlsx]主问卷'!$C$119</c:f>
              <c:strCache>
                <c:ptCount val="1"/>
                <c:pt idx="0">
                  <c:v>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'[(从业人员版)2020年江西省网民网络安全感满意度调查统计数据表.xlsx]主问卷'!$B$120:$B$125</c:f>
              <c:strCache>
                <c:ptCount val="6"/>
                <c:pt idx="0">
                  <c:v>其他</c:v>
                </c:pt>
                <c:pt idx="1">
                  <c:v>社会监督不足</c:v>
                </c:pt>
                <c:pt idx="2">
                  <c:v>平台管理漏洞</c:v>
                </c:pt>
                <c:pt idx="3">
                  <c:v>相关法律欠缺</c:v>
                </c:pt>
                <c:pt idx="4">
                  <c:v>监管力度不够</c:v>
                </c:pt>
                <c:pt idx="5">
                  <c:v>利益驱动</c:v>
                </c:pt>
              </c:strCache>
            </c:strRef>
          </c:cat>
          <c:val>
            <c:numRef>
              <c:f>'[(从业人员版)2020年江西省网民网络安全感满意度调查统计数据表.xlsx]主问卷'!$C$120:$C$125</c:f>
              <c:numCache>
                <c:formatCode>0.00%</c:formatCode>
                <c:ptCount val="6"/>
                <c:pt idx="0">
                  <c:v>0.0574</c:v>
                </c:pt>
                <c:pt idx="1">
                  <c:v>0.3745</c:v>
                </c:pt>
                <c:pt idx="2">
                  <c:v>0.5805</c:v>
                </c:pt>
                <c:pt idx="3">
                  <c:v>0.608</c:v>
                </c:pt>
                <c:pt idx="4">
                  <c:v>0.6454</c:v>
                </c:pt>
                <c:pt idx="5">
                  <c:v>0.6592</c:v>
                </c:pt>
              </c:numCache>
            </c:numRef>
          </c:val>
        </c:ser>
        <c:ser>
          <c:idx val="1"/>
          <c:order val="1"/>
          <c:tx>
            <c:strRef>
              <c:f>'[(从业人员版)2020年江西省网民网络安全感满意度调查统计数据表.xlsx]主问卷'!$D$119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'[(从业人员版)2020年江西省网民网络安全感满意度调查统计数据表.xlsx]主问卷'!$B$120:$B$125</c:f>
              <c:strCache>
                <c:ptCount val="6"/>
                <c:pt idx="0">
                  <c:v>其他</c:v>
                </c:pt>
                <c:pt idx="1">
                  <c:v>社会监督不足</c:v>
                </c:pt>
                <c:pt idx="2">
                  <c:v>平台管理漏洞</c:v>
                </c:pt>
                <c:pt idx="3">
                  <c:v>相关法律欠缺</c:v>
                </c:pt>
                <c:pt idx="4">
                  <c:v>监管力度不够</c:v>
                </c:pt>
                <c:pt idx="5">
                  <c:v>利益驱动</c:v>
                </c:pt>
              </c:strCache>
            </c:strRef>
          </c:cat>
          <c:val>
            <c:numRef>
              <c:f>'[(从业人员版)2020年江西省网民网络安全感满意度调查统计数据表.xlsx]主问卷'!$D$120:$D$125</c:f>
              <c:numCache>
                <c:formatCode>0.00%</c:formatCode>
                <c:ptCount val="6"/>
                <c:pt idx="0">
                  <c:v>0.0973</c:v>
                </c:pt>
                <c:pt idx="1">
                  <c:v>0.3285</c:v>
                </c:pt>
                <c:pt idx="2">
                  <c:v>0.5454</c:v>
                </c:pt>
                <c:pt idx="3">
                  <c:v>0.5567</c:v>
                </c:pt>
                <c:pt idx="4">
                  <c:v>0.6262</c:v>
                </c:pt>
                <c:pt idx="5">
                  <c:v>0.5498</c:v>
                </c:pt>
              </c:numCache>
            </c:numRef>
          </c:val>
        </c:ser>
        <c:dLbls>
          <c:showLegendKey val="0"/>
          <c:showVal val="1"/>
          <c:showCatName val="0"/>
          <c:showSerName val="0"/>
          <c:showPercent val="0"/>
          <c:showBubbleSize val="0"/>
        </c:dLbls>
        <c:gapWidth val="182"/>
        <c:axId val="648064543"/>
        <c:axId val="306916137"/>
      </c:barChart>
      <c:catAx>
        <c:axId val="64806454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6916137"/>
        <c:crosses val="autoZero"/>
        <c:auto val="1"/>
        <c:lblAlgn val="ctr"/>
        <c:lblOffset val="100"/>
        <c:noMultiLvlLbl val="0"/>
      </c:catAx>
      <c:valAx>
        <c:axId val="30691613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806454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整治网络黑灰产业关键手段评价</a:t>
            </a:r>
          </a:p>
        </c:rich>
      </c:tx>
      <c:layout/>
      <c:overlay val="0"/>
      <c:spPr>
        <a:noFill/>
        <a:ln>
          <a:noFill/>
        </a:ln>
        <a:effectLst/>
      </c:spPr>
    </c:title>
    <c:autoTitleDeleted val="0"/>
    <c:plotArea>
      <c:layout>
        <c:manualLayout>
          <c:layoutTarget val="inner"/>
          <c:xMode val="edge"/>
          <c:yMode val="edge"/>
          <c:x val="0.123508771929825"/>
          <c:y val="0.0909546898511955"/>
          <c:w val="0.830250626566416"/>
          <c:h val="0.752449423173382"/>
        </c:manualLayout>
      </c:layout>
      <c:barChart>
        <c:barDir val="bar"/>
        <c:grouping val="clustered"/>
        <c:varyColors val="0"/>
        <c:ser>
          <c:idx val="0"/>
          <c:order val="0"/>
          <c:tx>
            <c:strRef>
              <c:f>'[(从业人员版)2020年江西省网民网络安全感满意度调查统计数据表.xlsx]主问卷'!$C$129</c:f>
              <c:strCache>
                <c:ptCount val="1"/>
                <c:pt idx="0">
                  <c:v>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'[(从业人员版)2020年江西省网民网络安全感满意度调查统计数据表.xlsx]主问卷'!$B$130:$B$136</c:f>
              <c:strCache>
                <c:ptCount val="7"/>
                <c:pt idx="0">
                  <c:v>其他</c:v>
                </c:pt>
                <c:pt idx="1">
                  <c:v>工具链条</c:v>
                </c:pt>
                <c:pt idx="2">
                  <c:v>推广链条</c:v>
                </c:pt>
                <c:pt idx="3">
                  <c:v>帐号链条</c:v>
                </c:pt>
                <c:pt idx="4">
                  <c:v>资金链条</c:v>
                </c:pt>
                <c:pt idx="5">
                  <c:v>流量链条</c:v>
                </c:pt>
                <c:pt idx="6">
                  <c:v>信息链条</c:v>
                </c:pt>
              </c:strCache>
            </c:strRef>
          </c:cat>
          <c:val>
            <c:numRef>
              <c:f>'[(从业人员版)2020年江西省网民网络安全感满意度调查统计数据表.xlsx]主问卷'!$C$130:$C$136</c:f>
              <c:numCache>
                <c:formatCode>0.00%</c:formatCode>
                <c:ptCount val="7"/>
                <c:pt idx="0">
                  <c:v>0.0375</c:v>
                </c:pt>
                <c:pt idx="1">
                  <c:v>0.2934</c:v>
                </c:pt>
                <c:pt idx="2">
                  <c:v>0.4444</c:v>
                </c:pt>
                <c:pt idx="3">
                  <c:v>0.4881</c:v>
                </c:pt>
                <c:pt idx="4">
                  <c:v>0.4881</c:v>
                </c:pt>
                <c:pt idx="5">
                  <c:v>0.5431</c:v>
                </c:pt>
                <c:pt idx="6">
                  <c:v>0.6404</c:v>
                </c:pt>
              </c:numCache>
            </c:numRef>
          </c:val>
        </c:ser>
        <c:ser>
          <c:idx val="1"/>
          <c:order val="1"/>
          <c:tx>
            <c:strRef>
              <c:f>'[(从业人员版)2020年江西省网民网络安全感满意度调查统计数据表.xlsx]主问卷'!$D$129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'[(从业人员版)2020年江西省网民网络安全感满意度调查统计数据表.xlsx]主问卷'!$B$130:$B$136</c:f>
              <c:strCache>
                <c:ptCount val="7"/>
                <c:pt idx="0">
                  <c:v>其他</c:v>
                </c:pt>
                <c:pt idx="1">
                  <c:v>工具链条</c:v>
                </c:pt>
                <c:pt idx="2">
                  <c:v>推广链条</c:v>
                </c:pt>
                <c:pt idx="3">
                  <c:v>帐号链条</c:v>
                </c:pt>
                <c:pt idx="4">
                  <c:v>资金链条</c:v>
                </c:pt>
                <c:pt idx="5">
                  <c:v>流量链条</c:v>
                </c:pt>
                <c:pt idx="6">
                  <c:v>信息链条</c:v>
                </c:pt>
              </c:strCache>
            </c:strRef>
          </c:cat>
          <c:val>
            <c:numRef>
              <c:f>'[(从业人员版)2020年江西省网民网络安全感满意度调查统计数据表.xlsx]主问卷'!$D$130:$D$136</c:f>
              <c:numCache>
                <c:formatCode>0.00%</c:formatCode>
                <c:ptCount val="7"/>
                <c:pt idx="0">
                  <c:v>0.1009</c:v>
                </c:pt>
                <c:pt idx="1">
                  <c:v>0.2945</c:v>
                </c:pt>
                <c:pt idx="2">
                  <c:v>0.4278</c:v>
                </c:pt>
                <c:pt idx="3">
                  <c:v>0.4958</c:v>
                </c:pt>
                <c:pt idx="4">
                  <c:v>0.437</c:v>
                </c:pt>
                <c:pt idx="5">
                  <c:v>0.4603</c:v>
                </c:pt>
                <c:pt idx="6">
                  <c:v>0.6408</c:v>
                </c:pt>
              </c:numCache>
            </c:numRef>
          </c:val>
        </c:ser>
        <c:dLbls>
          <c:showLegendKey val="0"/>
          <c:showVal val="1"/>
          <c:showCatName val="0"/>
          <c:showSerName val="0"/>
          <c:showPercent val="0"/>
          <c:showBubbleSize val="0"/>
        </c:dLbls>
        <c:gapWidth val="182"/>
        <c:axId val="969650082"/>
        <c:axId val="400187939"/>
      </c:barChart>
      <c:catAx>
        <c:axId val="96965008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0187939"/>
        <c:crosses val="autoZero"/>
        <c:auto val="1"/>
        <c:lblAlgn val="ctr"/>
        <c:lblOffset val="100"/>
        <c:noMultiLvlLbl val="0"/>
      </c:catAx>
      <c:valAx>
        <c:axId val="40018793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965008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网络安全最突出或亟需治理的问题</a:t>
            </a:r>
          </a:p>
        </c:rich>
      </c:tx>
      <c:layout/>
      <c:overlay val="0"/>
      <c:spPr>
        <a:noFill/>
        <a:ln>
          <a:noFill/>
        </a:ln>
        <a:effectLst/>
      </c:spPr>
    </c:title>
    <c:autoTitleDeleted val="0"/>
    <c:plotArea>
      <c:layout>
        <c:manualLayout>
          <c:layoutTarget val="inner"/>
          <c:xMode val="edge"/>
          <c:yMode val="edge"/>
          <c:x val="0.270326230889611"/>
          <c:y val="0.0750611561735548"/>
          <c:w val="0.6989767665824"/>
          <c:h val="0.828556714304107"/>
        </c:manualLayout>
      </c:layout>
      <c:barChart>
        <c:barDir val="bar"/>
        <c:grouping val="clustered"/>
        <c:varyColors val="0"/>
        <c:ser>
          <c:idx val="0"/>
          <c:order val="0"/>
          <c:tx>
            <c:strRef>
              <c:f>'[(从业人员版)2020年江西省网民网络安全感满意度调查统计数据表.xlsx]主问卷'!$C$140</c:f>
              <c:strCache>
                <c:ptCount val="1"/>
                <c:pt idx="0">
                  <c:v>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'[(从业人员版)2020年江西省网民网络安全感满意度调查统计数据表.xlsx]主问卷'!$B$141:$B$154</c:f>
              <c:strCache>
                <c:ptCount val="14"/>
                <c:pt idx="0">
                  <c:v>其他</c:v>
                </c:pt>
                <c:pt idx="1">
                  <c:v>网络制售毒品、枪支等</c:v>
                </c:pt>
                <c:pt idx="2">
                  <c:v>网络侵权盗版</c:v>
                </c:pt>
                <c:pt idx="3">
                  <c:v>网络攻击和窃密</c:v>
                </c:pt>
                <c:pt idx="4">
                  <c:v>病毒木马</c:v>
                </c:pt>
                <c:pt idx="5">
                  <c:v>网络传销</c:v>
                </c:pt>
                <c:pt idx="6">
                  <c:v>游戏沉迷</c:v>
                </c:pt>
                <c:pt idx="7">
                  <c:v>网络支付陷阱与恶意吸费</c:v>
                </c:pt>
                <c:pt idx="8">
                  <c:v>网络赌博</c:v>
                </c:pt>
                <c:pt idx="9">
                  <c:v>网络色情</c:v>
                </c:pt>
                <c:pt idx="10">
                  <c:v>网络谣言与诽谤</c:v>
                </c:pt>
                <c:pt idx="11">
                  <c:v>网络骚扰</c:v>
                </c:pt>
                <c:pt idx="12">
                  <c:v>网络诈骗</c:v>
                </c:pt>
                <c:pt idx="13">
                  <c:v>信息泄露</c:v>
                </c:pt>
              </c:strCache>
            </c:strRef>
          </c:cat>
          <c:val>
            <c:numRef>
              <c:f>'[(从业人员版)2020年江西省网民网络安全感满意度调查统计数据表.xlsx]主问卷'!$C$141:$C$154</c:f>
              <c:numCache>
                <c:formatCode>0%</c:formatCode>
                <c:ptCount val="14"/>
                <c:pt idx="0">
                  <c:v>0.03</c:v>
                </c:pt>
                <c:pt idx="1" c:formatCode="0.00%">
                  <c:v>0.2172</c:v>
                </c:pt>
                <c:pt idx="2" c:formatCode="0.00%">
                  <c:v>0.3071</c:v>
                </c:pt>
                <c:pt idx="3" c:formatCode="0.00%">
                  <c:v>0.3533</c:v>
                </c:pt>
                <c:pt idx="4" c:formatCode="0.00%">
                  <c:v>0.3558</c:v>
                </c:pt>
                <c:pt idx="5" c:formatCode="0.00%">
                  <c:v>0.362</c:v>
                </c:pt>
                <c:pt idx="6" c:formatCode="0.00%">
                  <c:v>0.382</c:v>
                </c:pt>
                <c:pt idx="7" c:formatCode="0.00%">
                  <c:v>0.3958</c:v>
                </c:pt>
                <c:pt idx="8" c:formatCode="0.00%">
                  <c:v>0.4507</c:v>
                </c:pt>
                <c:pt idx="9" c:formatCode="0.00%">
                  <c:v>0.4519</c:v>
                </c:pt>
                <c:pt idx="10" c:formatCode="0.00%">
                  <c:v>0.4956</c:v>
                </c:pt>
                <c:pt idx="11" c:formatCode="0.00%">
                  <c:v>0.6217</c:v>
                </c:pt>
                <c:pt idx="12" c:formatCode="0.00%">
                  <c:v>0.628</c:v>
                </c:pt>
                <c:pt idx="13" c:formatCode="0.00%">
                  <c:v>0.7753</c:v>
                </c:pt>
              </c:numCache>
            </c:numRef>
          </c:val>
        </c:ser>
        <c:ser>
          <c:idx val="1"/>
          <c:order val="1"/>
          <c:tx>
            <c:strRef>
              <c:f>'[(从业人员版)2020年江西省网民网络安全感满意度调查统计数据表.xlsx]主问卷'!$D$140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'[(从业人员版)2020年江西省网民网络安全感满意度调查统计数据表.xlsx]主问卷'!$B$141:$B$154</c:f>
              <c:strCache>
                <c:ptCount val="14"/>
                <c:pt idx="0">
                  <c:v>其他</c:v>
                </c:pt>
                <c:pt idx="1">
                  <c:v>网络制售毒品、枪支等</c:v>
                </c:pt>
                <c:pt idx="2">
                  <c:v>网络侵权盗版</c:v>
                </c:pt>
                <c:pt idx="3">
                  <c:v>网络攻击和窃密</c:v>
                </c:pt>
                <c:pt idx="4">
                  <c:v>病毒木马</c:v>
                </c:pt>
                <c:pt idx="5">
                  <c:v>网络传销</c:v>
                </c:pt>
                <c:pt idx="6">
                  <c:v>游戏沉迷</c:v>
                </c:pt>
                <c:pt idx="7">
                  <c:v>网络支付陷阱与恶意吸费</c:v>
                </c:pt>
                <c:pt idx="8">
                  <c:v>网络赌博</c:v>
                </c:pt>
                <c:pt idx="9">
                  <c:v>网络色情</c:v>
                </c:pt>
                <c:pt idx="10">
                  <c:v>网络谣言与诽谤</c:v>
                </c:pt>
                <c:pt idx="11">
                  <c:v>网络骚扰</c:v>
                </c:pt>
                <c:pt idx="12">
                  <c:v>网络诈骗</c:v>
                </c:pt>
                <c:pt idx="13">
                  <c:v>信息泄露</c:v>
                </c:pt>
              </c:strCache>
            </c:strRef>
          </c:cat>
          <c:val>
            <c:numRef>
              <c:f>'[(从业人员版)2020年江西省网民网络安全感满意度调查统计数据表.xlsx]主问卷'!$D$141:$D$154</c:f>
              <c:numCache>
                <c:formatCode>0.00%</c:formatCode>
                <c:ptCount val="14"/>
                <c:pt idx="0">
                  <c:v>0.0698</c:v>
                </c:pt>
                <c:pt idx="1">
                  <c:v>0.2022</c:v>
                </c:pt>
                <c:pt idx="2">
                  <c:v>0.2634</c:v>
                </c:pt>
                <c:pt idx="3">
                  <c:v>0.3248</c:v>
                </c:pt>
                <c:pt idx="4">
                  <c:v>0.3627</c:v>
                </c:pt>
                <c:pt idx="5">
                  <c:v>0.3664</c:v>
                </c:pt>
                <c:pt idx="6">
                  <c:v>0.4135</c:v>
                </c:pt>
                <c:pt idx="7">
                  <c:v>0.3945</c:v>
                </c:pt>
                <c:pt idx="8">
                  <c:v>0.4619</c:v>
                </c:pt>
                <c:pt idx="9">
                  <c:v>0.4415</c:v>
                </c:pt>
                <c:pt idx="10">
                  <c:v>0.4676</c:v>
                </c:pt>
                <c:pt idx="11">
                  <c:v>0.6202</c:v>
                </c:pt>
                <c:pt idx="12">
                  <c:v>0.6559</c:v>
                </c:pt>
                <c:pt idx="13">
                  <c:v>0.7731</c:v>
                </c:pt>
              </c:numCache>
            </c:numRef>
          </c:val>
        </c:ser>
        <c:dLbls>
          <c:showLegendKey val="0"/>
          <c:showVal val="1"/>
          <c:showCatName val="0"/>
          <c:showSerName val="0"/>
          <c:showPercent val="0"/>
          <c:showBubbleSize val="0"/>
        </c:dLbls>
        <c:gapWidth val="182"/>
        <c:axId val="734200368"/>
        <c:axId val="55131832"/>
      </c:barChart>
      <c:catAx>
        <c:axId val="7342003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131832"/>
        <c:crosses val="autoZero"/>
        <c:auto val="1"/>
        <c:lblAlgn val="ctr"/>
        <c:lblOffset val="100"/>
        <c:noMultiLvlLbl val="0"/>
      </c:catAx>
      <c:valAx>
        <c:axId val="551318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2003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维护网络安全最需要采取的措施</a:t>
            </a:r>
          </a:p>
        </c:rich>
      </c:tx>
      <c:layout/>
      <c:overlay val="0"/>
      <c:spPr>
        <a:noFill/>
        <a:ln>
          <a:noFill/>
        </a:ln>
        <a:effectLst/>
      </c:spPr>
    </c:title>
    <c:autoTitleDeleted val="0"/>
    <c:plotArea>
      <c:layout>
        <c:manualLayout>
          <c:layoutTarget val="inner"/>
          <c:xMode val="edge"/>
          <c:yMode val="edge"/>
          <c:x val="0.325458581610001"/>
          <c:y val="0.0511566289615816"/>
          <c:w val="0.63142890524594"/>
          <c:h val="0.878976867420768"/>
        </c:manualLayout>
      </c:layout>
      <c:barChart>
        <c:barDir val="bar"/>
        <c:grouping val="clustered"/>
        <c:varyColors val="0"/>
        <c:ser>
          <c:idx val="0"/>
          <c:order val="0"/>
          <c:tx>
            <c:strRef>
              <c:f>'[(从业人员版)2020年江西省网民网络安全感满意度调查统计数据表.xlsx]主问卷'!$C$158</c:f>
              <c:strCache>
                <c:ptCount val="1"/>
                <c:pt idx="0">
                  <c:v>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'[(从业人员版)2020年江西省网民网络安全感满意度调查统计数据表.xlsx]主问卷'!$B$159:$B$172</c:f>
              <c:strCache>
                <c:ptCount val="14"/>
                <c:pt idx="0">
                  <c:v>其他</c:v>
                </c:pt>
                <c:pt idx="1">
                  <c:v>推动社会力量参与网络治理</c:v>
                </c:pt>
                <c:pt idx="2">
                  <c:v>加强网络安全培训和普法宣传</c:v>
                </c:pt>
                <c:pt idx="3">
                  <c:v>及时发布网络安全预警信息</c:v>
                </c:pt>
                <c:pt idx="4">
                  <c:v>健全网络安全投诉举报机制</c:v>
                </c:pt>
                <c:pt idx="5">
                  <c:v>加强未成年人上网保护</c:v>
                </c:pt>
                <c:pt idx="6">
                  <c:v>实施更加严格的网络实名管理</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'[(从业人员版)2020年江西省网民网络安全感满意度调查统计数据表.xlsx]主问卷'!$C$159:$C$172</c:f>
              <c:numCache>
                <c:formatCode>0.00%</c:formatCode>
                <c:ptCount val="14"/>
                <c:pt idx="0">
                  <c:v>0.0237</c:v>
                </c:pt>
                <c:pt idx="1">
                  <c:v>0.3571</c:v>
                </c:pt>
                <c:pt idx="2">
                  <c:v>0.3695</c:v>
                </c:pt>
                <c:pt idx="3">
                  <c:v>0.3733</c:v>
                </c:pt>
                <c:pt idx="4">
                  <c:v>0.4095</c:v>
                </c:pt>
                <c:pt idx="5">
                  <c:v>0.4157</c:v>
                </c:pt>
                <c:pt idx="6">
                  <c:v>0.4532</c:v>
                </c:pt>
                <c:pt idx="7">
                  <c:v>0.4644</c:v>
                </c:pt>
                <c:pt idx="8">
                  <c:v>0.5156</c:v>
                </c:pt>
                <c:pt idx="9">
                  <c:v>0.5368</c:v>
                </c:pt>
                <c:pt idx="10">
                  <c:v>0.5418</c:v>
                </c:pt>
                <c:pt idx="11">
                  <c:v>0.5955</c:v>
                </c:pt>
                <c:pt idx="12">
                  <c:v>0.6042</c:v>
                </c:pt>
                <c:pt idx="13">
                  <c:v>0.7416</c:v>
                </c:pt>
              </c:numCache>
            </c:numRef>
          </c:val>
        </c:ser>
        <c:ser>
          <c:idx val="1"/>
          <c:order val="1"/>
          <c:tx>
            <c:strRef>
              <c:f>'[(从业人员版)2020年江西省网民网络安全感满意度调查统计数据表.xlsx]主问卷'!$D$158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'[(从业人员版)2020年江西省网民网络安全感满意度调查统计数据表.xlsx]主问卷'!$B$159:$B$172</c:f>
              <c:strCache>
                <c:ptCount val="14"/>
                <c:pt idx="0">
                  <c:v>其他</c:v>
                </c:pt>
                <c:pt idx="1">
                  <c:v>推动社会力量参与网络治理</c:v>
                </c:pt>
                <c:pt idx="2">
                  <c:v>加强网络安全培训和普法宣传</c:v>
                </c:pt>
                <c:pt idx="3">
                  <c:v>及时发布网络安全预警信息</c:v>
                </c:pt>
                <c:pt idx="4">
                  <c:v>健全网络安全投诉举报机制</c:v>
                </c:pt>
                <c:pt idx="5">
                  <c:v>加强未成年人上网保护</c:v>
                </c:pt>
                <c:pt idx="6">
                  <c:v>实施更加严格的网络实名管理</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'[(从业人员版)2020年江西省网民网络安全感满意度调查统计数据表.xlsx]主问卷'!$D$159:$D$172</c:f>
              <c:numCache>
                <c:formatCode>0.00%</c:formatCode>
                <c:ptCount val="14"/>
                <c:pt idx="0">
                  <c:v>0.0637</c:v>
                </c:pt>
                <c:pt idx="1">
                  <c:v>0.3494</c:v>
                </c:pt>
                <c:pt idx="2">
                  <c:v>0.3801</c:v>
                </c:pt>
                <c:pt idx="3">
                  <c:v>0.361</c:v>
                </c:pt>
                <c:pt idx="4">
                  <c:v>0.4001</c:v>
                </c:pt>
                <c:pt idx="5">
                  <c:v>0.4824</c:v>
                </c:pt>
                <c:pt idx="6">
                  <c:v>0.4657</c:v>
                </c:pt>
                <c:pt idx="7">
                  <c:v>0.4538</c:v>
                </c:pt>
                <c:pt idx="8">
                  <c:v>0.4973</c:v>
                </c:pt>
                <c:pt idx="9">
                  <c:v>0.5222</c:v>
                </c:pt>
                <c:pt idx="10">
                  <c:v>0.5327</c:v>
                </c:pt>
                <c:pt idx="11">
                  <c:v>0.5669</c:v>
                </c:pt>
                <c:pt idx="12">
                  <c:v>0.6311</c:v>
                </c:pt>
                <c:pt idx="13">
                  <c:v>0.7608</c:v>
                </c:pt>
              </c:numCache>
            </c:numRef>
          </c:val>
        </c:ser>
        <c:dLbls>
          <c:showLegendKey val="0"/>
          <c:showVal val="1"/>
          <c:showCatName val="0"/>
          <c:showSerName val="0"/>
          <c:showPercent val="0"/>
          <c:showBubbleSize val="0"/>
        </c:dLbls>
        <c:gapWidth val="182"/>
        <c:axId val="829855065"/>
        <c:axId val="399598002"/>
      </c:barChart>
      <c:catAx>
        <c:axId val="82985506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598002"/>
        <c:crosses val="autoZero"/>
        <c:auto val="1"/>
        <c:lblAlgn val="ctr"/>
        <c:lblOffset val="100"/>
        <c:noMultiLvlLbl val="0"/>
      </c:catAx>
      <c:valAx>
        <c:axId val="39959800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8550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亟待加强的网络安全立法内容</a:t>
            </a:r>
          </a:p>
        </c:rich>
      </c:tx>
      <c:layout>
        <c:manualLayout>
          <c:xMode val="edge"/>
          <c:yMode val="edge"/>
          <c:x val="0.286751152073733"/>
          <c:y val="0.0228571428571429"/>
        </c:manualLayout>
      </c:layout>
      <c:overlay val="0"/>
      <c:spPr>
        <a:noFill/>
        <a:ln>
          <a:noFill/>
        </a:ln>
        <a:effectLst/>
      </c:spPr>
    </c:title>
    <c:autoTitleDeleted val="0"/>
    <c:plotArea>
      <c:layout>
        <c:manualLayout>
          <c:layoutTarget val="inner"/>
          <c:xMode val="edge"/>
          <c:yMode val="edge"/>
          <c:x val="0.248657758516913"/>
          <c:y val="0.0779510022271715"/>
          <c:w val="0.706921873119056"/>
          <c:h val="0.835679287305122"/>
        </c:manualLayout>
      </c:layout>
      <c:barChart>
        <c:barDir val="bar"/>
        <c:grouping val="clustered"/>
        <c:varyColors val="0"/>
        <c:ser>
          <c:idx val="0"/>
          <c:order val="0"/>
          <c:tx>
            <c:strRef>
              <c:f>'[(从业人员版)2020年江西省网民网络安全感满意度调查统计数据表.xlsx]主问卷'!$C$176</c:f>
              <c:strCache>
                <c:ptCount val="1"/>
                <c:pt idx="0">
                  <c:v>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'[(从业人员版)2020年江西省网民网络安全感满意度调查统计数据表.xlsx]主问卷'!$B$177:$B$190</c:f>
              <c:strCache>
                <c:ptCount val="14"/>
                <c:pt idx="0">
                  <c:v>其他</c:v>
                </c:pt>
                <c:pt idx="1">
                  <c:v>人工智能管理</c:v>
                </c:pt>
                <c:pt idx="2">
                  <c:v>数据权利的民事立法</c:v>
                </c:pt>
                <c:pt idx="3">
                  <c:v>网络信息内容治理</c:v>
                </c:pt>
                <c:pt idx="4">
                  <c:v>网络安全从业人员管理</c:v>
                </c:pt>
                <c:pt idx="5">
                  <c:v>网络黑灰产业治理</c:v>
                </c:pt>
                <c:pt idx="6">
                  <c:v>数据安全保护</c:v>
                </c:pt>
                <c:pt idx="7">
                  <c:v>关键信息基础设施保护</c:v>
                </c:pt>
                <c:pt idx="8">
                  <c:v>网络安全等级保护</c:v>
                </c:pt>
                <c:pt idx="9">
                  <c:v>未成年人上网保护</c:v>
                </c:pt>
                <c:pt idx="10">
                  <c:v>网络违法犯罪防治</c:v>
                </c:pt>
                <c:pt idx="11">
                  <c:v>网络安全各领域监管</c:v>
                </c:pt>
                <c:pt idx="12">
                  <c:v>网络平台责任</c:v>
                </c:pt>
                <c:pt idx="13">
                  <c:v>个人信息保护</c:v>
                </c:pt>
              </c:strCache>
            </c:strRef>
          </c:cat>
          <c:val>
            <c:numRef>
              <c:f>'[(从业人员版)2020年江西省网民网络安全感满意度调查统计数据表.xlsx]主问卷'!$C$177:$C$190</c:f>
              <c:numCache>
                <c:formatCode>0.00%</c:formatCode>
                <c:ptCount val="14"/>
                <c:pt idx="0">
                  <c:v>0.035</c:v>
                </c:pt>
                <c:pt idx="1">
                  <c:v>0.2222</c:v>
                </c:pt>
                <c:pt idx="2">
                  <c:v>0.3171</c:v>
                </c:pt>
                <c:pt idx="3">
                  <c:v>0.3196</c:v>
                </c:pt>
                <c:pt idx="4">
                  <c:v>0.3208</c:v>
                </c:pt>
                <c:pt idx="5">
                  <c:v>0.3571</c:v>
                </c:pt>
                <c:pt idx="6">
                  <c:v>0.3795</c:v>
                </c:pt>
                <c:pt idx="7">
                  <c:v>0.432</c:v>
                </c:pt>
                <c:pt idx="8">
                  <c:v>0.4419</c:v>
                </c:pt>
                <c:pt idx="9">
                  <c:v>0.4432</c:v>
                </c:pt>
                <c:pt idx="10">
                  <c:v>0.4494</c:v>
                </c:pt>
                <c:pt idx="11">
                  <c:v>0.4594</c:v>
                </c:pt>
                <c:pt idx="12">
                  <c:v>0.6205</c:v>
                </c:pt>
                <c:pt idx="13">
                  <c:v>0.6879</c:v>
                </c:pt>
              </c:numCache>
            </c:numRef>
          </c:val>
        </c:ser>
        <c:ser>
          <c:idx val="1"/>
          <c:order val="1"/>
          <c:tx>
            <c:strRef>
              <c:f>'[(从业人员版)2020年江西省网民网络安全感满意度调查统计数据表.xlsx]主问卷'!$D$176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'[(从业人员版)2020年江西省网民网络安全感满意度调查统计数据表.xlsx]主问卷'!$B$177:$B$190</c:f>
              <c:strCache>
                <c:ptCount val="14"/>
                <c:pt idx="0">
                  <c:v>其他</c:v>
                </c:pt>
                <c:pt idx="1">
                  <c:v>人工智能管理</c:v>
                </c:pt>
                <c:pt idx="2">
                  <c:v>数据权利的民事立法</c:v>
                </c:pt>
                <c:pt idx="3">
                  <c:v>网络信息内容治理</c:v>
                </c:pt>
                <c:pt idx="4">
                  <c:v>网络安全从业人员管理</c:v>
                </c:pt>
                <c:pt idx="5">
                  <c:v>网络黑灰产业治理</c:v>
                </c:pt>
                <c:pt idx="6">
                  <c:v>数据安全保护</c:v>
                </c:pt>
                <c:pt idx="7">
                  <c:v>关键信息基础设施保护</c:v>
                </c:pt>
                <c:pt idx="8">
                  <c:v>网络安全等级保护</c:v>
                </c:pt>
                <c:pt idx="9">
                  <c:v>未成年人上网保护</c:v>
                </c:pt>
                <c:pt idx="10">
                  <c:v>网络违法犯罪防治</c:v>
                </c:pt>
                <c:pt idx="11">
                  <c:v>网络安全各领域监管</c:v>
                </c:pt>
                <c:pt idx="12">
                  <c:v>网络平台责任</c:v>
                </c:pt>
                <c:pt idx="13">
                  <c:v>个人信息保护</c:v>
                </c:pt>
              </c:strCache>
            </c:strRef>
          </c:cat>
          <c:val>
            <c:numRef>
              <c:f>'[(从业人员版)2020年江西省网民网络安全感满意度调查统计数据表.xlsx]主问卷'!$D$177:$D$190</c:f>
              <c:numCache>
                <c:formatCode>0.00%</c:formatCode>
                <c:ptCount val="14"/>
                <c:pt idx="0">
                  <c:v>0.0706</c:v>
                </c:pt>
                <c:pt idx="1">
                  <c:v>0.2636</c:v>
                </c:pt>
                <c:pt idx="2">
                  <c:v>0.3099</c:v>
                </c:pt>
                <c:pt idx="3">
                  <c:v>0.3074</c:v>
                </c:pt>
                <c:pt idx="4">
                  <c:v>0.303</c:v>
                </c:pt>
                <c:pt idx="5">
                  <c:v>0.3209</c:v>
                </c:pt>
                <c:pt idx="6">
                  <c:v>0.3702</c:v>
                </c:pt>
                <c:pt idx="7">
                  <c:v>0.3878</c:v>
                </c:pt>
                <c:pt idx="8">
                  <c:v>0.4519</c:v>
                </c:pt>
                <c:pt idx="9">
                  <c:v>0.4783</c:v>
                </c:pt>
                <c:pt idx="10">
                  <c:v>0.4595</c:v>
                </c:pt>
                <c:pt idx="11">
                  <c:v>0.4394</c:v>
                </c:pt>
                <c:pt idx="12">
                  <c:v>0.6041</c:v>
                </c:pt>
                <c:pt idx="13">
                  <c:v>0.7229</c:v>
                </c:pt>
              </c:numCache>
            </c:numRef>
          </c:val>
        </c:ser>
        <c:dLbls>
          <c:showLegendKey val="0"/>
          <c:showVal val="1"/>
          <c:showCatName val="0"/>
          <c:showSerName val="0"/>
          <c:showPercent val="0"/>
          <c:showBubbleSize val="0"/>
        </c:dLbls>
        <c:gapWidth val="182"/>
        <c:axId val="856887755"/>
        <c:axId val="40492268"/>
      </c:barChart>
      <c:catAx>
        <c:axId val="85688775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492268"/>
        <c:crosses val="autoZero"/>
        <c:auto val="1"/>
        <c:lblAlgn val="ctr"/>
        <c:lblOffset val="100"/>
        <c:noMultiLvlLbl val="0"/>
      </c:catAx>
      <c:valAx>
        <c:axId val="404922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887755"/>
        <c:crosses val="autoZero"/>
        <c:crossBetween val="between"/>
      </c:valAx>
      <c:spPr>
        <a:noFill/>
        <a:ln>
          <a:noFill/>
        </a:ln>
        <a:effectLst/>
      </c:spPr>
    </c:plotArea>
    <c:legend>
      <c:legendPos val="b"/>
      <c:layout>
        <c:manualLayout>
          <c:xMode val="edge"/>
          <c:yMode val="edge"/>
          <c:x val="0.38148549416155"/>
          <c:y val="0.95790645879732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从业人员年龄分布图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"江西"</c:f>
              <c:strCache>
                <c:ptCount val="1"/>
                <c:pt idx="0">
                  <c:v>江西</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'[江西-从业.xlsx]主问卷'!$B$11:$B$17</c:f>
              <c:strCache>
                <c:ptCount val="7"/>
                <c:pt idx="0">
                  <c:v>12岁以下</c:v>
                </c:pt>
                <c:pt idx="1">
                  <c:v>12-18岁</c:v>
                </c:pt>
                <c:pt idx="2">
                  <c:v>19-24岁</c:v>
                </c:pt>
                <c:pt idx="3">
                  <c:v>25-30岁</c:v>
                </c:pt>
                <c:pt idx="4">
                  <c:v>31-45岁</c:v>
                </c:pt>
                <c:pt idx="5">
                  <c:v>46-60岁</c:v>
                </c:pt>
                <c:pt idx="6">
                  <c:v>61岁以上</c:v>
                </c:pt>
              </c:strCache>
            </c:strRef>
          </c:cat>
          <c:val>
            <c:numRef>
              <c:f>'[江西-从业.xlsx]主问卷'!$C$11:$C$17</c:f>
              <c:numCache>
                <c:formatCode>0.00%</c:formatCode>
                <c:ptCount val="7"/>
                <c:pt idx="0">
                  <c:v>0.0112</c:v>
                </c:pt>
                <c:pt idx="1">
                  <c:v>0.1423</c:v>
                </c:pt>
                <c:pt idx="2">
                  <c:v>0.3883</c:v>
                </c:pt>
                <c:pt idx="3">
                  <c:v>0.2172</c:v>
                </c:pt>
                <c:pt idx="4">
                  <c:v>0.171</c:v>
                </c:pt>
                <c:pt idx="5">
                  <c:v>0.0449</c:v>
                </c:pt>
                <c:pt idx="6">
                  <c:v>0.025</c:v>
                </c:pt>
              </c:numCache>
            </c:numRef>
          </c:val>
        </c:ser>
        <c:ser>
          <c:idx val="1"/>
          <c:order val="1"/>
          <c:tx>
            <c:strRef>
              <c:f>"全国"</c:f>
              <c:strCache>
                <c:ptCount val="1"/>
                <c:pt idx="0">
                  <c:v>全国</c:v>
                </c:pt>
              </c:strCache>
            </c:strRef>
          </c:tx>
          <c:spPr>
            <a:solidFill>
              <a:schemeClr val="accent2"/>
            </a:solidFill>
            <a:ln>
              <a:noFill/>
            </a:ln>
            <a:effectLst/>
          </c:spPr>
          <c:invertIfNegative val="0"/>
          <c:dLbls>
            <c:dLbl>
              <c:idx val="3"/>
              <c:layout>
                <c:manualLayout>
                  <c:x val="0"/>
                  <c:y val="-0.01499155405405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'[江西-从业.xlsx]主问卷'!$B$11:$B$17</c:f>
              <c:strCache>
                <c:ptCount val="7"/>
                <c:pt idx="0">
                  <c:v>12岁以下</c:v>
                </c:pt>
                <c:pt idx="1">
                  <c:v>12-18岁</c:v>
                </c:pt>
                <c:pt idx="2">
                  <c:v>19-24岁</c:v>
                </c:pt>
                <c:pt idx="3">
                  <c:v>25-30岁</c:v>
                </c:pt>
                <c:pt idx="4">
                  <c:v>31-45岁</c:v>
                </c:pt>
                <c:pt idx="5">
                  <c:v>46-60岁</c:v>
                </c:pt>
                <c:pt idx="6">
                  <c:v>61岁以上</c:v>
                </c:pt>
              </c:strCache>
            </c:strRef>
          </c:cat>
          <c:val>
            <c:numRef>
              <c:f>'[江西-从业.xlsx]主问卷'!$D$11:$D$17</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1"/>
          <c:showCatName val="0"/>
          <c:showSerName val="0"/>
          <c:showPercent val="0"/>
          <c:showBubbleSize val="0"/>
        </c:dLbls>
        <c:gapWidth val="75"/>
        <c:overlap val="-25"/>
        <c:axId val="423416500"/>
        <c:axId val="360126692"/>
      </c:barChart>
      <c:catAx>
        <c:axId val="4234165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0126692"/>
        <c:crosses val="autoZero"/>
        <c:auto val="1"/>
        <c:lblAlgn val="ctr"/>
        <c:lblOffset val="100"/>
        <c:noMultiLvlLbl val="0"/>
      </c:catAx>
      <c:valAx>
        <c:axId val="3601266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34165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网络安全的相关管理部门认知度</a:t>
            </a:r>
          </a:p>
        </c:rich>
      </c:tx>
      <c:layout/>
      <c:overlay val="0"/>
      <c:spPr>
        <a:noFill/>
        <a:ln>
          <a:noFill/>
        </a:ln>
        <a:effectLst/>
      </c:spPr>
    </c:title>
    <c:autoTitleDeleted val="0"/>
    <c:plotArea>
      <c:layout>
        <c:manualLayout>
          <c:layoutTarget val="inner"/>
          <c:xMode val="edge"/>
          <c:yMode val="edge"/>
          <c:x val="0.117375253066571"/>
          <c:y val="0.0666212534059945"/>
          <c:w val="0.838680481124211"/>
          <c:h val="0.813405994550409"/>
        </c:manualLayout>
      </c:layout>
      <c:barChart>
        <c:barDir val="bar"/>
        <c:grouping val="clustered"/>
        <c:varyColors val="0"/>
        <c:ser>
          <c:idx val="0"/>
          <c:order val="0"/>
          <c:tx>
            <c:strRef>
              <c:f>"江西"</c:f>
              <c:strCache>
                <c:ptCount val="1"/>
                <c:pt idx="0">
                  <c:v>江西</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'[江西-从业.xlsx]主问卷'!$B$195:$B$205</c:f>
              <c:strCache>
                <c:ptCount val="11"/>
                <c:pt idx="0">
                  <c:v>其他</c:v>
                </c:pt>
                <c:pt idx="1">
                  <c:v>文化</c:v>
                </c:pt>
                <c:pt idx="2">
                  <c:v>教育</c:v>
                </c:pt>
                <c:pt idx="3">
                  <c:v>密码</c:v>
                </c:pt>
                <c:pt idx="4">
                  <c:v>市场监管</c:v>
                </c:pt>
                <c:pt idx="5">
                  <c:v>广电</c:v>
                </c:pt>
                <c:pt idx="6">
                  <c:v>保密</c:v>
                </c:pt>
                <c:pt idx="7">
                  <c:v>国安</c:v>
                </c:pt>
                <c:pt idx="8">
                  <c:v>工信</c:v>
                </c:pt>
                <c:pt idx="9">
                  <c:v>公安</c:v>
                </c:pt>
                <c:pt idx="10">
                  <c:v>网信</c:v>
                </c:pt>
              </c:strCache>
            </c:strRef>
          </c:cat>
          <c:val>
            <c:numRef>
              <c:f>'[江西-从业.xlsx]主问卷'!$C$195:$C$205</c:f>
              <c:numCache>
                <c:formatCode>0.00%</c:formatCode>
                <c:ptCount val="11"/>
                <c:pt idx="0">
                  <c:v>0.0287</c:v>
                </c:pt>
                <c:pt idx="1">
                  <c:v>0.1698</c:v>
                </c:pt>
                <c:pt idx="2">
                  <c:v>0.1835</c:v>
                </c:pt>
                <c:pt idx="3">
                  <c:v>0.2397</c:v>
                </c:pt>
                <c:pt idx="4">
                  <c:v>0.2447</c:v>
                </c:pt>
                <c:pt idx="5">
                  <c:v>0.2684</c:v>
                </c:pt>
                <c:pt idx="6">
                  <c:v>0.2946</c:v>
                </c:pt>
                <c:pt idx="7">
                  <c:v>0.417</c:v>
                </c:pt>
                <c:pt idx="8">
                  <c:v>0.4519</c:v>
                </c:pt>
                <c:pt idx="9">
                  <c:v>0.6579</c:v>
                </c:pt>
                <c:pt idx="10">
                  <c:v>0.7328</c:v>
                </c:pt>
              </c:numCache>
            </c:numRef>
          </c:val>
        </c:ser>
        <c:ser>
          <c:idx val="1"/>
          <c:order val="1"/>
          <c:tx>
            <c:strRef>
              <c:f>"全国"</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'[江西-从业.xlsx]主问卷'!$B$195:$B$205</c:f>
              <c:strCache>
                <c:ptCount val="11"/>
                <c:pt idx="0">
                  <c:v>其他</c:v>
                </c:pt>
                <c:pt idx="1">
                  <c:v>文化</c:v>
                </c:pt>
                <c:pt idx="2">
                  <c:v>教育</c:v>
                </c:pt>
                <c:pt idx="3">
                  <c:v>密码</c:v>
                </c:pt>
                <c:pt idx="4">
                  <c:v>市场监管</c:v>
                </c:pt>
                <c:pt idx="5">
                  <c:v>广电</c:v>
                </c:pt>
                <c:pt idx="6">
                  <c:v>保密</c:v>
                </c:pt>
                <c:pt idx="7">
                  <c:v>国安</c:v>
                </c:pt>
                <c:pt idx="8">
                  <c:v>工信</c:v>
                </c:pt>
                <c:pt idx="9">
                  <c:v>公安</c:v>
                </c:pt>
                <c:pt idx="10">
                  <c:v>网信</c:v>
                </c:pt>
              </c:strCache>
            </c:strRef>
          </c:cat>
          <c:val>
            <c:numRef>
              <c:f>'[江西-从业.xlsx]主问卷'!$D$195:$D$205</c:f>
              <c:numCache>
                <c:formatCode>0.00%</c:formatCode>
                <c:ptCount val="11"/>
                <c:pt idx="0">
                  <c:v>0.0637</c:v>
                </c:pt>
                <c:pt idx="1">
                  <c:v>0.2015</c:v>
                </c:pt>
                <c:pt idx="2">
                  <c:v>0.2136</c:v>
                </c:pt>
                <c:pt idx="3">
                  <c:v>0.2423</c:v>
                </c:pt>
                <c:pt idx="4">
                  <c:v>0.2697</c:v>
                </c:pt>
                <c:pt idx="5">
                  <c:v>0.2462</c:v>
                </c:pt>
                <c:pt idx="6">
                  <c:v>0.3292</c:v>
                </c:pt>
                <c:pt idx="7">
                  <c:v>0.443</c:v>
                </c:pt>
                <c:pt idx="8">
                  <c:v>0.4337</c:v>
                </c:pt>
                <c:pt idx="9">
                  <c:v>0.7135</c:v>
                </c:pt>
                <c:pt idx="10">
                  <c:v>0.7377</c:v>
                </c:pt>
              </c:numCache>
            </c:numRef>
          </c:val>
        </c:ser>
        <c:dLbls>
          <c:showLegendKey val="0"/>
          <c:showVal val="1"/>
          <c:showCatName val="0"/>
          <c:showSerName val="0"/>
          <c:showPercent val="0"/>
          <c:showBubbleSize val="0"/>
        </c:dLbls>
        <c:gapWidth val="219"/>
        <c:overlap val="-27"/>
        <c:axId val="222460981"/>
        <c:axId val="808625593"/>
      </c:barChart>
      <c:catAx>
        <c:axId val="22246098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625593"/>
        <c:crosses val="autoZero"/>
        <c:auto val="1"/>
        <c:lblAlgn val="ctr"/>
        <c:lblOffset val="100"/>
        <c:noMultiLvlLbl val="0"/>
      </c:catAx>
      <c:valAx>
        <c:axId val="80862559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246098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政府部门网络安全监管力度评价</a:t>
            </a:r>
          </a:p>
        </c:rich>
      </c:tx>
      <c:layout/>
      <c:overlay val="0"/>
      <c:spPr>
        <a:noFill/>
        <a:ln>
          <a:noFill/>
        </a:ln>
        <a:effectLst/>
      </c:spPr>
    </c:title>
    <c:autoTitleDeleted val="0"/>
    <c:plotArea>
      <c:layout/>
      <c:barChart>
        <c:barDir val="col"/>
        <c:grouping val="clustered"/>
        <c:varyColors val="0"/>
        <c:ser>
          <c:idx val="0"/>
          <c:order val="0"/>
          <c:tx>
            <c:strRef>
              <c:f>"江西"</c:f>
              <c:strCache>
                <c:ptCount val="1"/>
                <c:pt idx="0">
                  <c:v>江西</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'[江西-从业.xlsx]主问卷'!$B$210:$B$214</c:f>
              <c:strCache>
                <c:ptCount val="5"/>
                <c:pt idx="0">
                  <c:v>非常强</c:v>
                </c:pt>
                <c:pt idx="1">
                  <c:v>比较强</c:v>
                </c:pt>
                <c:pt idx="2">
                  <c:v>一般</c:v>
                </c:pt>
                <c:pt idx="3">
                  <c:v>比较不足</c:v>
                </c:pt>
                <c:pt idx="4">
                  <c:v>严重不足</c:v>
                </c:pt>
              </c:strCache>
            </c:strRef>
          </c:cat>
          <c:val>
            <c:numRef>
              <c:f>'[江西-从业.xlsx]主问卷'!$C$210:$C$214</c:f>
              <c:numCache>
                <c:formatCode>0.00%</c:formatCode>
                <c:ptCount val="5"/>
                <c:pt idx="0">
                  <c:v>0.1236</c:v>
                </c:pt>
                <c:pt idx="1">
                  <c:v>0.3196</c:v>
                </c:pt>
                <c:pt idx="2">
                  <c:v>0.3596</c:v>
                </c:pt>
                <c:pt idx="3">
                  <c:v>0.1348</c:v>
                </c:pt>
                <c:pt idx="4">
                  <c:v>0.0624</c:v>
                </c:pt>
              </c:numCache>
            </c:numRef>
          </c:val>
        </c:ser>
        <c:ser>
          <c:idx val="1"/>
          <c:order val="1"/>
          <c:tx>
            <c:strRef>
              <c:f>"全国"</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'[江西-从业.xlsx]主问卷'!$B$210:$B$214</c:f>
              <c:strCache>
                <c:ptCount val="5"/>
                <c:pt idx="0">
                  <c:v>非常强</c:v>
                </c:pt>
                <c:pt idx="1">
                  <c:v>比较强</c:v>
                </c:pt>
                <c:pt idx="2">
                  <c:v>一般</c:v>
                </c:pt>
                <c:pt idx="3">
                  <c:v>比较不足</c:v>
                </c:pt>
                <c:pt idx="4">
                  <c:v>严重不足</c:v>
                </c:pt>
              </c:strCache>
            </c:strRef>
          </c:cat>
          <c:val>
            <c:numRef>
              <c:f>'[江西-从业.xlsx]主问卷'!$D$210:$D$214</c:f>
              <c:numCache>
                <c:formatCode>0.00%</c:formatCode>
                <c:ptCount val="5"/>
                <c:pt idx="0">
                  <c:v>0.1834</c:v>
                </c:pt>
                <c:pt idx="1">
                  <c:v>0.3664</c:v>
                </c:pt>
                <c:pt idx="2">
                  <c:v>0.364</c:v>
                </c:pt>
                <c:pt idx="3">
                  <c:v>0.054</c:v>
                </c:pt>
                <c:pt idx="4">
                  <c:v>0.0322</c:v>
                </c:pt>
              </c:numCache>
            </c:numRef>
          </c:val>
        </c:ser>
        <c:dLbls>
          <c:showLegendKey val="0"/>
          <c:showVal val="1"/>
          <c:showCatName val="0"/>
          <c:showSerName val="0"/>
          <c:showPercent val="0"/>
          <c:showBubbleSize val="0"/>
        </c:dLbls>
        <c:gapWidth val="75"/>
        <c:overlap val="-25"/>
        <c:axId val="963673249"/>
        <c:axId val="557814912"/>
      </c:barChart>
      <c:catAx>
        <c:axId val="96367324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7814912"/>
        <c:crosses val="autoZero"/>
        <c:auto val="1"/>
        <c:lblAlgn val="ctr"/>
        <c:lblOffset val="100"/>
        <c:noMultiLvlLbl val="0"/>
      </c:catAx>
      <c:valAx>
        <c:axId val="557814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36732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从业人员网民从业时间分布图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'[(从业人员版)2020年江西省网民网络安全感满意度调查统计数据表.xlsx]主问卷'!$C$21</c:f>
              <c:strCache>
                <c:ptCount val="1"/>
                <c:pt idx="0">
                  <c:v>江西占比</c:v>
                </c:pt>
              </c:strCache>
            </c:strRef>
          </c:tx>
          <c:spPr>
            <a:solidFill>
              <a:schemeClr val="accent1"/>
            </a:solidFill>
            <a:ln>
              <a:noFill/>
            </a:ln>
            <a:effectLst/>
          </c:spPr>
          <c:invertIfNegative val="0"/>
          <c:dLbls>
            <c:dLbl>
              <c:idx val="2"/>
              <c:layout>
                <c:manualLayout>
                  <c:x val="-0.00196747114375656"/>
                  <c:y val="0.02446483180428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'[(从业人员版)2020年江西省网民网络安全感满意度调查统计数据表.xlsx]主问卷'!$B$22:$B$28</c:f>
              <c:strCache>
                <c:ptCount val="7"/>
                <c:pt idx="0">
                  <c:v>1-3年</c:v>
                </c:pt>
                <c:pt idx="1">
                  <c:v>4-6年</c:v>
                </c:pt>
                <c:pt idx="2">
                  <c:v>7-9年</c:v>
                </c:pt>
                <c:pt idx="3">
                  <c:v>10-12年</c:v>
                </c:pt>
                <c:pt idx="4">
                  <c:v>13-15年</c:v>
                </c:pt>
                <c:pt idx="5">
                  <c:v>16-20年</c:v>
                </c:pt>
                <c:pt idx="6">
                  <c:v>20年以上</c:v>
                </c:pt>
              </c:strCache>
            </c:strRef>
          </c:cat>
          <c:val>
            <c:numRef>
              <c:f>'[(从业人员版)2020年江西省网民网络安全感满意度调查统计数据表.xlsx]主问卷'!$C$22:$C$28</c:f>
              <c:numCache>
                <c:formatCode>0.00%</c:formatCode>
                <c:ptCount val="7"/>
                <c:pt idx="0">
                  <c:v>0.5243</c:v>
                </c:pt>
                <c:pt idx="1">
                  <c:v>0.2497</c:v>
                </c:pt>
                <c:pt idx="2">
                  <c:v>0.0811</c:v>
                </c:pt>
                <c:pt idx="3">
                  <c:v>0.0899</c:v>
                </c:pt>
                <c:pt idx="4">
                  <c:v>0.0237</c:v>
                </c:pt>
                <c:pt idx="5">
                  <c:v>0.0125</c:v>
                </c:pt>
                <c:pt idx="6">
                  <c:v>0.0187</c:v>
                </c:pt>
              </c:numCache>
            </c:numRef>
          </c:val>
        </c:ser>
        <c:ser>
          <c:idx val="1"/>
          <c:order val="1"/>
          <c:tx>
            <c:strRef>
              <c:f>'[(从业人员版)2020年江西省网民网络安全感满意度调查统计数据表.xlsx]主问卷'!$D$21</c:f>
              <c:strCache>
                <c:ptCount val="1"/>
                <c:pt idx="0">
                  <c:v>全国占比</c:v>
                </c:pt>
              </c:strCache>
            </c:strRef>
          </c:tx>
          <c:spPr>
            <a:solidFill>
              <a:schemeClr val="accent2"/>
            </a:solidFill>
            <a:ln>
              <a:noFill/>
            </a:ln>
            <a:effectLst/>
          </c:spPr>
          <c:invertIfNegative val="0"/>
          <c:dLbls>
            <c:dLbl>
              <c:idx val="0"/>
              <c:layout>
                <c:manualLayout>
                  <c:x val="0.0137722980062959"/>
                  <c:y val="0.01529051987767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7707240293809"/>
                  <c:y val="0.0183486238532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7722980062959"/>
                  <c:y val="-0.02140672782874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'[(从业人员版)2020年江西省网民网络安全感满意度调查统计数据表.xlsx]主问卷'!$B$22:$B$28</c:f>
              <c:strCache>
                <c:ptCount val="7"/>
                <c:pt idx="0">
                  <c:v>1-3年</c:v>
                </c:pt>
                <c:pt idx="1">
                  <c:v>4-6年</c:v>
                </c:pt>
                <c:pt idx="2">
                  <c:v>7-9年</c:v>
                </c:pt>
                <c:pt idx="3">
                  <c:v>10-12年</c:v>
                </c:pt>
                <c:pt idx="4">
                  <c:v>13-15年</c:v>
                </c:pt>
                <c:pt idx="5">
                  <c:v>16-20年</c:v>
                </c:pt>
                <c:pt idx="6">
                  <c:v>20年以上</c:v>
                </c:pt>
              </c:strCache>
            </c:strRef>
          </c:cat>
          <c:val>
            <c:numRef>
              <c:f>'[(从业人员版)2020年江西省网民网络安全感满意度调查统计数据表.xlsx]主问卷'!$D$22:$D$28</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219"/>
        <c:overlap val="-27"/>
        <c:axId val="144782741"/>
        <c:axId val="668141539"/>
      </c:barChart>
      <c:catAx>
        <c:axId val="14478274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41539"/>
        <c:crosses val="autoZero"/>
        <c:auto val="1"/>
        <c:lblAlgn val="ctr"/>
        <c:lblOffset val="100"/>
        <c:noMultiLvlLbl val="0"/>
      </c:catAx>
      <c:valAx>
        <c:axId val="66814153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478274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从业人员网民学历分布图</a:t>
            </a:r>
            <a:endParaRPr lang="zh-CN" altLang="en-US"/>
          </a:p>
        </c:rich>
      </c:tx>
      <c:layout/>
      <c:overlay val="0"/>
      <c:spPr>
        <a:noFill/>
        <a:ln>
          <a:noFill/>
        </a:ln>
        <a:effectLst/>
      </c:spPr>
    </c:title>
    <c:autoTitleDeleted val="0"/>
    <c:plotArea>
      <c:layout/>
      <c:pieChart>
        <c:varyColors val="1"/>
        <c:ser>
          <c:idx val="0"/>
          <c:order val="0"/>
          <c:tx>
            <c:strRef>
              <c:f>'[江西-从业.xlsx]主问卷'!$C$31:$C$32</c:f>
              <c:strCache>
                <c:ptCount val="1"/>
                <c:pt idx="0">
                  <c:v>您的学历： 江西占比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Lbls>
            <c:dLbl>
              <c:idx val="0"/>
              <c:layout>
                <c:manualLayout>
                  <c:x val="0.0466898954703833"/>
                  <c:y val="0.0463117689185963"/>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dLbl>
              <c:idx val="4"/>
              <c:layout>
                <c:manualLayout>
                  <c:x val="-0.0515679442508711"/>
                  <c:y val="-0.00429696825017904"/>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dLbl>
              <c:idx val="5"/>
              <c:layout>
                <c:manualLayout>
                  <c:x val="0.0393031358885017"/>
                  <c:y val="0"/>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'[江西-从业.xlsx]主问卷'!$B$33:$B$38</c:f>
              <c:strCache>
                <c:ptCount val="6"/>
                <c:pt idx="0">
                  <c:v>高中以下</c:v>
                </c:pt>
                <c:pt idx="1">
                  <c:v>高中</c:v>
                </c:pt>
                <c:pt idx="2">
                  <c:v>大学专科</c:v>
                </c:pt>
                <c:pt idx="3">
                  <c:v>大学本科</c:v>
                </c:pt>
                <c:pt idx="4">
                  <c:v>硕士研究生</c:v>
                </c:pt>
                <c:pt idx="5">
                  <c:v>博士研究生</c:v>
                </c:pt>
              </c:strCache>
            </c:strRef>
          </c:cat>
          <c:val>
            <c:numRef>
              <c:f>'[江西-从业.xlsx]主问卷'!$C$33:$C$38</c:f>
              <c:numCache>
                <c:formatCode>0.00%</c:formatCode>
                <c:ptCount val="6"/>
                <c:pt idx="0">
                  <c:v>0.1099</c:v>
                </c:pt>
                <c:pt idx="1">
                  <c:v>0.1698</c:v>
                </c:pt>
                <c:pt idx="2">
                  <c:v>0.2634</c:v>
                </c:pt>
                <c:pt idx="3">
                  <c:v>0.3983</c:v>
                </c:pt>
                <c:pt idx="4" c:formatCode="0%">
                  <c:v>0.04</c:v>
                </c:pt>
                <c:pt idx="5">
                  <c:v>0.0187</c:v>
                </c:pt>
              </c:numCache>
            </c:numRef>
          </c:val>
        </c:ser>
        <c:dLbls>
          <c:showLegendKey val="1"/>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从业人员工作单位分布占比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"江西"</c:f>
              <c:strCache>
                <c:ptCount val="1"/>
                <c:pt idx="0">
                  <c:v>江西</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'[江西-从业.xlsx]主问卷'!$B$43:$B$49</c:f>
              <c:strCache>
                <c:ptCount val="7"/>
                <c:pt idx="0">
                  <c:v>行业协会与中介机构</c:v>
                </c:pt>
                <c:pt idx="1">
                  <c:v>政府网络安全监管机构</c:v>
                </c:pt>
                <c:pt idx="2">
                  <c:v>国有企事业单位用户</c:v>
                </c:pt>
                <c:pt idx="3">
                  <c:v>科研机构和院校</c:v>
                </c:pt>
                <c:pt idx="4">
                  <c:v>网络安全产品与服务提供商</c:v>
                </c:pt>
                <c:pt idx="5">
                  <c:v>网络服务营运商</c:v>
                </c:pt>
                <c:pt idx="6">
                  <c:v>一般互联网用户单位</c:v>
                </c:pt>
              </c:strCache>
            </c:strRef>
          </c:cat>
          <c:val>
            <c:numRef>
              <c:f>'[江西-从业.xlsx]主问卷'!$C$43:$C$49</c:f>
              <c:numCache>
                <c:formatCode>0.00%</c:formatCode>
                <c:ptCount val="7"/>
                <c:pt idx="0">
                  <c:v>0.0225</c:v>
                </c:pt>
                <c:pt idx="1">
                  <c:v>0.0325</c:v>
                </c:pt>
                <c:pt idx="2">
                  <c:v>0.1111</c:v>
                </c:pt>
                <c:pt idx="3">
                  <c:v>0.1273</c:v>
                </c:pt>
                <c:pt idx="4">
                  <c:v>0.1523</c:v>
                </c:pt>
                <c:pt idx="5">
                  <c:v>0.2085</c:v>
                </c:pt>
                <c:pt idx="6">
                  <c:v>0.3458</c:v>
                </c:pt>
              </c:numCache>
            </c:numRef>
          </c:val>
        </c:ser>
        <c:ser>
          <c:idx val="1"/>
          <c:order val="1"/>
          <c:tx>
            <c:strRef>
              <c:f>"全国"</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'[江西-从业.xlsx]主问卷'!$B$43:$B$49</c:f>
              <c:strCache>
                <c:ptCount val="7"/>
                <c:pt idx="0">
                  <c:v>行业协会与中介机构</c:v>
                </c:pt>
                <c:pt idx="1">
                  <c:v>政府网络安全监管机构</c:v>
                </c:pt>
                <c:pt idx="2">
                  <c:v>国有企事业单位用户</c:v>
                </c:pt>
                <c:pt idx="3">
                  <c:v>科研机构和院校</c:v>
                </c:pt>
                <c:pt idx="4">
                  <c:v>网络安全产品与服务提供商</c:v>
                </c:pt>
                <c:pt idx="5">
                  <c:v>网络服务营运商</c:v>
                </c:pt>
                <c:pt idx="6">
                  <c:v>一般互联网用户单位</c:v>
                </c:pt>
              </c:strCache>
            </c:strRef>
          </c:cat>
          <c:val>
            <c:numRef>
              <c:f>'[江西-从业.xlsx]主问卷'!$D$43:$D$49</c:f>
              <c:numCache>
                <c:formatCode>0.00%</c:formatCode>
                <c:ptCount val="7"/>
                <c:pt idx="0">
                  <c:v>0.0236</c:v>
                </c:pt>
                <c:pt idx="1">
                  <c:v>0.0568</c:v>
                </c:pt>
                <c:pt idx="2">
                  <c:v>0.2818</c:v>
                </c:pt>
                <c:pt idx="3">
                  <c:v>0.0715</c:v>
                </c:pt>
                <c:pt idx="4">
                  <c:v>0.0704</c:v>
                </c:pt>
                <c:pt idx="5">
                  <c:v>0.1737</c:v>
                </c:pt>
                <c:pt idx="6">
                  <c:v>0.3222</c:v>
                </c:pt>
              </c:numCache>
            </c:numRef>
          </c:val>
        </c:ser>
        <c:dLbls>
          <c:showLegendKey val="0"/>
          <c:showVal val="1"/>
          <c:showCatName val="0"/>
          <c:showSerName val="0"/>
          <c:showPercent val="0"/>
          <c:showBubbleSize val="0"/>
        </c:dLbls>
        <c:gapWidth val="219"/>
        <c:overlap val="-27"/>
        <c:axId val="877729627"/>
        <c:axId val="15178907"/>
      </c:barChart>
      <c:catAx>
        <c:axId val="87772962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78907"/>
        <c:crosses val="autoZero"/>
        <c:auto val="1"/>
        <c:lblAlgn val="ctr"/>
        <c:lblOffset val="100"/>
        <c:noMultiLvlLbl val="0"/>
      </c:catAx>
      <c:valAx>
        <c:axId val="1517890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7729627"/>
        <c:crosses val="autoZero"/>
        <c:crossBetween val="between"/>
        <c:majorUnit val="0.1"/>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从业人员网民安全感变化评价图</a:t>
            </a:r>
            <a:endParaRPr lang="zh-CN" altLang="en-US"/>
          </a:p>
        </c:rich>
      </c:tx>
      <c:layout/>
      <c:overlay val="0"/>
      <c:spPr>
        <a:noFill/>
        <a:ln>
          <a:noFill/>
        </a:ln>
        <a:effectLst/>
      </c:spPr>
    </c:title>
    <c:autoTitleDeleted val="0"/>
    <c:plotArea>
      <c:layout/>
      <c:barChart>
        <c:barDir val="col"/>
        <c:grouping val="clustered"/>
        <c:varyColors val="0"/>
        <c:ser>
          <c:idx val="0"/>
          <c:order val="0"/>
          <c:tx>
            <c:strRef>
              <c:f>'[江西-从业.xlsx]主问卷'!$C$52:$C$53</c:f>
              <c:strCache>
                <c:ptCount val="1"/>
                <c:pt idx="0">
                  <c:v>您认为当前网络安全状况如何？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'[江西-从业.xlsx]主问卷'!$B$54:$B$58</c:f>
              <c:strCache>
                <c:ptCount val="5"/>
                <c:pt idx="0">
                  <c:v>非常安全</c:v>
                </c:pt>
                <c:pt idx="1">
                  <c:v>安全</c:v>
                </c:pt>
                <c:pt idx="2">
                  <c:v>一般</c:v>
                </c:pt>
                <c:pt idx="3">
                  <c:v>不安全</c:v>
                </c:pt>
                <c:pt idx="4">
                  <c:v>非常不安全</c:v>
                </c:pt>
              </c:strCache>
            </c:strRef>
          </c:cat>
          <c:val>
            <c:numRef>
              <c:f>'[江西-从业.xlsx]主问卷'!$C$54:$C$58</c:f>
              <c:numCache>
                <c:formatCode>0.00%</c:formatCode>
                <c:ptCount val="5"/>
                <c:pt idx="0">
                  <c:v>0.1186</c:v>
                </c:pt>
                <c:pt idx="1">
                  <c:v>0.2285</c:v>
                </c:pt>
                <c:pt idx="2">
                  <c:v>0.4207</c:v>
                </c:pt>
                <c:pt idx="3">
                  <c:v>0.171</c:v>
                </c:pt>
                <c:pt idx="4">
                  <c:v>0.0612</c:v>
                </c:pt>
              </c:numCache>
            </c:numRef>
          </c:val>
        </c:ser>
        <c:dLbls>
          <c:showLegendKey val="0"/>
          <c:showVal val="1"/>
          <c:showCatName val="0"/>
          <c:showSerName val="0"/>
          <c:showPercent val="0"/>
          <c:showBubbleSize val="0"/>
        </c:dLbls>
        <c:gapWidth val="219"/>
        <c:overlap val="-27"/>
        <c:axId val="71880019"/>
        <c:axId val="258324033"/>
      </c:barChart>
      <c:catAx>
        <c:axId val="718800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8324033"/>
        <c:crosses val="autoZero"/>
        <c:auto val="1"/>
        <c:lblAlgn val="ctr"/>
        <c:lblOffset val="100"/>
        <c:noMultiLvlLbl val="0"/>
      </c:catAx>
      <c:valAx>
        <c:axId val="25832403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800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从业人员网民安全感变化评价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'[江西-从业.xlsx]主问卷'!$P$53</c:f>
              <c:strCache>
                <c:ptCount val="1"/>
                <c:pt idx="0">
                  <c:v>从业</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'[江西-从业.xlsx]主问卷'!$O$54:$O$58</c:f>
              <c:strCache>
                <c:ptCount val="5"/>
                <c:pt idx="0">
                  <c:v>非常安全</c:v>
                </c:pt>
                <c:pt idx="1">
                  <c:v>安全</c:v>
                </c:pt>
                <c:pt idx="2">
                  <c:v>一般</c:v>
                </c:pt>
                <c:pt idx="3">
                  <c:v>不安全</c:v>
                </c:pt>
                <c:pt idx="4">
                  <c:v>非常不安全</c:v>
                </c:pt>
              </c:strCache>
            </c:strRef>
          </c:cat>
          <c:val>
            <c:numRef>
              <c:f>'[江西-从业.xlsx]主问卷'!$P$54:$P$58</c:f>
              <c:numCache>
                <c:formatCode>0.00%</c:formatCode>
                <c:ptCount val="5"/>
                <c:pt idx="0">
                  <c:v>0.1186</c:v>
                </c:pt>
                <c:pt idx="1">
                  <c:v>0.2285</c:v>
                </c:pt>
                <c:pt idx="2">
                  <c:v>0.4207</c:v>
                </c:pt>
                <c:pt idx="3">
                  <c:v>0.171</c:v>
                </c:pt>
                <c:pt idx="4">
                  <c:v>0.0612</c:v>
                </c:pt>
              </c:numCache>
            </c:numRef>
          </c:val>
        </c:ser>
        <c:ser>
          <c:idx val="1"/>
          <c:order val="1"/>
          <c:tx>
            <c:strRef>
              <c:f>'[江西-从业.xlsx]主问卷'!$Q$53</c:f>
              <c:strCache>
                <c:ptCount val="1"/>
                <c:pt idx="0">
                  <c:v>公众</c:v>
                </c:pt>
              </c:strCache>
            </c:strRef>
          </c:tx>
          <c:spPr>
            <a:solidFill>
              <a:schemeClr val="accent2"/>
            </a:solidFill>
            <a:ln>
              <a:noFill/>
            </a:ln>
            <a:effectLst/>
          </c:spPr>
          <c:invertIfNegative val="0"/>
          <c:dLbls>
            <c:dLbl>
              <c:idx val="0"/>
              <c:layout>
                <c:manualLayout>
                  <c:x val="0.0123972698147374"/>
                  <c:y val="0.02537099090473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93912801225797"/>
                  <c:y val="0.01699377692675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'[江西-从业.xlsx]主问卷'!$O$54:$O$58</c:f>
              <c:strCache>
                <c:ptCount val="5"/>
                <c:pt idx="0">
                  <c:v>非常安全</c:v>
                </c:pt>
                <c:pt idx="1">
                  <c:v>安全</c:v>
                </c:pt>
                <c:pt idx="2">
                  <c:v>一般</c:v>
                </c:pt>
                <c:pt idx="3">
                  <c:v>不安全</c:v>
                </c:pt>
                <c:pt idx="4">
                  <c:v>非常不安全</c:v>
                </c:pt>
              </c:strCache>
            </c:strRef>
          </c:cat>
          <c:val>
            <c:numRef>
              <c:f>'[江西-从业.xlsx]主问卷'!$Q$54:$Q$58</c:f>
              <c:numCache>
                <c:formatCode>0.00%</c:formatCode>
                <c:ptCount val="5"/>
                <c:pt idx="0">
                  <c:v>0.1169</c:v>
                </c:pt>
                <c:pt idx="1">
                  <c:v>0.3438</c:v>
                </c:pt>
                <c:pt idx="2">
                  <c:v>0.4232</c:v>
                </c:pt>
                <c:pt idx="3">
                  <c:v>0.0841</c:v>
                </c:pt>
                <c:pt idx="4">
                  <c:v>0.0319</c:v>
                </c:pt>
              </c:numCache>
            </c:numRef>
          </c:val>
        </c:ser>
        <c:dLbls>
          <c:showLegendKey val="0"/>
          <c:showVal val="1"/>
          <c:showCatName val="0"/>
          <c:showSerName val="0"/>
          <c:showPercent val="0"/>
          <c:showBubbleSize val="0"/>
        </c:dLbls>
        <c:gapWidth val="219"/>
        <c:overlap val="-27"/>
        <c:axId val="810163367"/>
        <c:axId val="637620767"/>
      </c:barChart>
      <c:catAx>
        <c:axId val="81016336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7620767"/>
        <c:crosses val="autoZero"/>
        <c:auto val="1"/>
        <c:lblAlgn val="ctr"/>
        <c:lblOffset val="100"/>
        <c:noMultiLvlLbl val="0"/>
      </c:catAx>
      <c:valAx>
        <c:axId val="63762076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01633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从业人员网民安全感变化评价图</a:t>
            </a:r>
            <a:endParaRPr lang="zh-CN" altLang="en-US"/>
          </a:p>
        </c:rich>
      </c:tx>
      <c:layout/>
      <c:overlay val="0"/>
      <c:spPr>
        <a:noFill/>
        <a:ln>
          <a:noFill/>
        </a:ln>
        <a:effectLst/>
      </c:spPr>
    </c:title>
    <c:autoTitleDeleted val="0"/>
    <c:plotArea>
      <c:layout/>
      <c:barChart>
        <c:barDir val="col"/>
        <c:grouping val="clustered"/>
        <c:varyColors val="0"/>
        <c:ser>
          <c:idx val="0"/>
          <c:order val="0"/>
          <c:tx>
            <c:strRef>
              <c:f>"江西"</c:f>
              <c:strCache>
                <c:ptCount val="1"/>
                <c:pt idx="0">
                  <c:v>江西</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'[江西-从业.xlsx]主问卷'!$B$54:$B$58</c:f>
              <c:strCache>
                <c:ptCount val="5"/>
                <c:pt idx="0">
                  <c:v>非常安全</c:v>
                </c:pt>
                <c:pt idx="1">
                  <c:v>安全</c:v>
                </c:pt>
                <c:pt idx="2">
                  <c:v>一般</c:v>
                </c:pt>
                <c:pt idx="3">
                  <c:v>不安全</c:v>
                </c:pt>
                <c:pt idx="4">
                  <c:v>非常不安全</c:v>
                </c:pt>
              </c:strCache>
            </c:strRef>
          </c:cat>
          <c:val>
            <c:numRef>
              <c:f>'[江西-从业.xlsx]主问卷'!$C$54:$C$58</c:f>
              <c:numCache>
                <c:formatCode>0.00%</c:formatCode>
                <c:ptCount val="5"/>
                <c:pt idx="0">
                  <c:v>0.1186</c:v>
                </c:pt>
                <c:pt idx="1">
                  <c:v>0.2285</c:v>
                </c:pt>
                <c:pt idx="2">
                  <c:v>0.4207</c:v>
                </c:pt>
                <c:pt idx="3">
                  <c:v>0.171</c:v>
                </c:pt>
                <c:pt idx="4">
                  <c:v>0.0612</c:v>
                </c:pt>
              </c:numCache>
            </c:numRef>
          </c:val>
        </c:ser>
        <c:ser>
          <c:idx val="1"/>
          <c:order val="1"/>
          <c:tx>
            <c:strRef>
              <c:f>"全国"</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'[江西-从业.xlsx]主问卷'!$B$54:$B$58</c:f>
              <c:strCache>
                <c:ptCount val="5"/>
                <c:pt idx="0">
                  <c:v>非常安全</c:v>
                </c:pt>
                <c:pt idx="1">
                  <c:v>安全</c:v>
                </c:pt>
                <c:pt idx="2">
                  <c:v>一般</c:v>
                </c:pt>
                <c:pt idx="3">
                  <c:v>不安全</c:v>
                </c:pt>
                <c:pt idx="4">
                  <c:v>非常不安全</c:v>
                </c:pt>
              </c:strCache>
            </c:strRef>
          </c:cat>
          <c:val>
            <c:numRef>
              <c:f>'[江西-从业.xlsx]主问卷'!$D$54:$D$58</c:f>
              <c:numCache>
                <c:formatCode>0.00%</c:formatCode>
                <c:ptCount val="5"/>
                <c:pt idx="0">
                  <c:v>0.1658</c:v>
                </c:pt>
                <c:pt idx="1">
                  <c:v>0.402</c:v>
                </c:pt>
                <c:pt idx="2">
                  <c:v>0.3416</c:v>
                </c:pt>
                <c:pt idx="3">
                  <c:v>0.0696</c:v>
                </c:pt>
                <c:pt idx="4">
                  <c:v>0.021</c:v>
                </c:pt>
              </c:numCache>
            </c:numRef>
          </c:val>
        </c:ser>
        <c:dLbls>
          <c:showLegendKey val="0"/>
          <c:showVal val="1"/>
          <c:showCatName val="0"/>
          <c:showSerName val="0"/>
          <c:showPercent val="0"/>
          <c:showBubbleSize val="0"/>
        </c:dLbls>
        <c:gapWidth val="75"/>
        <c:overlap val="-25"/>
        <c:axId val="71880019"/>
        <c:axId val="258324033"/>
      </c:barChart>
      <c:catAx>
        <c:axId val="718800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8324033"/>
        <c:crosses val="autoZero"/>
        <c:auto val="1"/>
        <c:lblAlgn val="ctr"/>
        <c:lblOffset val="100"/>
        <c:noMultiLvlLbl val="0"/>
      </c:catAx>
      <c:valAx>
        <c:axId val="25832403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800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从业人员网民安全感评价分布图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'[江西-从业.xlsx]主问卷'!$C$61:$C$62</c:f>
              <c:strCache>
                <c:ptCount val="1"/>
                <c:pt idx="0">
                  <c:v>与去年相比，您认为当前网络安全状况是否有变化?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'[江西-从业.xlsx]主问卷'!$B$63:$B$67</c:f>
              <c:strCache>
                <c:ptCount val="5"/>
                <c:pt idx="0">
                  <c:v>明显改善</c:v>
                </c:pt>
                <c:pt idx="1">
                  <c:v>略有改善</c:v>
                </c:pt>
                <c:pt idx="2">
                  <c:v>没有变化</c:v>
                </c:pt>
                <c:pt idx="3">
                  <c:v>略有恶化</c:v>
                </c:pt>
                <c:pt idx="4">
                  <c:v>明显恶化</c:v>
                </c:pt>
              </c:strCache>
            </c:strRef>
          </c:cat>
          <c:val>
            <c:numRef>
              <c:f>'[江西-从业.xlsx]主问卷'!$C$63:$C$67</c:f>
              <c:numCache>
                <c:formatCode>0.00%</c:formatCode>
                <c:ptCount val="5"/>
                <c:pt idx="0">
                  <c:v>0.2135</c:v>
                </c:pt>
                <c:pt idx="1">
                  <c:v>0.4607</c:v>
                </c:pt>
                <c:pt idx="2">
                  <c:v>0.1835</c:v>
                </c:pt>
                <c:pt idx="3">
                  <c:v>0.0936</c:v>
                </c:pt>
                <c:pt idx="4">
                  <c:v>0.0487</c:v>
                </c:pt>
              </c:numCache>
            </c:numRef>
          </c:val>
        </c:ser>
        <c:dLbls>
          <c:showLegendKey val="0"/>
          <c:showVal val="1"/>
          <c:showCatName val="0"/>
          <c:showSerName val="0"/>
          <c:showPercent val="0"/>
          <c:showBubbleSize val="0"/>
        </c:dLbls>
        <c:gapWidth val="219"/>
        <c:overlap val="-27"/>
        <c:axId val="496402075"/>
        <c:axId val="281325196"/>
      </c:barChart>
      <c:catAx>
        <c:axId val="49640207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1325196"/>
        <c:crosses val="autoZero"/>
        <c:auto val="1"/>
        <c:lblAlgn val="ctr"/>
        <c:lblOffset val="100"/>
        <c:noMultiLvlLbl val="0"/>
      </c:catAx>
      <c:valAx>
        <c:axId val="2813251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4020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2057"/>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825A1-0983-4117-AB28-A5A5221AF97F}">
  <ds:schemaRefs/>
</ds:datastoreItem>
</file>

<file path=customXml/itemProps3.xml><?xml version="1.0" encoding="utf-8"?>
<ds:datastoreItem xmlns:ds="http://schemas.openxmlformats.org/officeDocument/2006/customXml" ds:itemID="{C975069D-07BE-4E8B-AB3A-D872FFCF8D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3361</Words>
  <Characters>19160</Characters>
  <Lines>159</Lines>
  <Paragraphs>44</Paragraphs>
  <TotalTime>1</TotalTime>
  <ScaleCrop>false</ScaleCrop>
  <LinksUpToDate>false</LinksUpToDate>
  <CharactersWithSpaces>22477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2020-08-17T01:32:00Z</dcterms:created>
  <dc:creator>高工</dc:creator>
  <cp:keywords>网络安全感、满意度、调查</cp:keywords>
  <cp:lastModifiedBy>珍珠</cp:lastModifiedBy>
  <cp:lastPrinted>2019-09-13T16:59:00Z</cp:lastPrinted>
  <dcterms:modified xsi:type="dcterms:W3CDTF">2020-09-24T06:38:45Z</dcterms:modified>
  <dc:title>2019年全国网民网络安全感满意度调查统计报告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