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charts/chart83.xml" ContentType="application/vnd.openxmlformats-officedocument.drawingml.chart+xml"/>
  <Override PartName="/word/charts/chart84.xml" ContentType="application/vnd.openxmlformats-officedocument.drawingml.chart+xml"/>
  <Override PartName="/word/charts/chart85.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12.xml" ContentType="application/vnd.ms-office.chartcolorstyle+xml"/>
  <Override PartName="/word/charts/colors13.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19.xml" ContentType="application/vnd.ms-office.chartcolorstyle+xml"/>
  <Override PartName="/word/charts/colors2.xml" ContentType="application/vnd.ms-office.chartcolorstyle+xml"/>
  <Override PartName="/word/charts/colors20.xml" ContentType="application/vnd.ms-office.chartcolorstyle+xml"/>
  <Override PartName="/word/charts/colors21.xml" ContentType="application/vnd.ms-office.chartcolorstyle+xml"/>
  <Override PartName="/word/charts/colors22.xml" ContentType="application/vnd.ms-office.chartcolorstyle+xml"/>
  <Override PartName="/word/charts/colors23.xml" ContentType="application/vnd.ms-office.chartcolorstyle+xml"/>
  <Override PartName="/word/charts/colors24.xml" ContentType="application/vnd.ms-office.chartcolorstyle+xml"/>
  <Override PartName="/word/charts/colors25.xml" ContentType="application/vnd.ms-office.chartcolorstyle+xml"/>
  <Override PartName="/word/charts/colors26.xml" ContentType="application/vnd.ms-office.chartcolorstyle+xml"/>
  <Override PartName="/word/charts/colors27.xml" ContentType="application/vnd.ms-office.chartcolorstyle+xml"/>
  <Override PartName="/word/charts/colors28.xml" ContentType="application/vnd.ms-office.chartcolorstyle+xml"/>
  <Override PartName="/word/charts/colors29.xml" ContentType="application/vnd.ms-office.chartcolorstyle+xml"/>
  <Override PartName="/word/charts/colors3.xml" ContentType="application/vnd.ms-office.chartcolorstyle+xml"/>
  <Override PartName="/word/charts/colors30.xml" ContentType="application/vnd.ms-office.chartcolorstyle+xml"/>
  <Override PartName="/word/charts/colors31.xml" ContentType="application/vnd.ms-office.chartcolorstyle+xml"/>
  <Override PartName="/word/charts/colors32.xml" ContentType="application/vnd.ms-office.chartcolorstyle+xml"/>
  <Override PartName="/word/charts/colors33.xml" ContentType="application/vnd.ms-office.chartcolorstyle+xml"/>
  <Override PartName="/word/charts/colors34.xml" ContentType="application/vnd.ms-office.chartcolorstyle+xml"/>
  <Override PartName="/word/charts/colors35.xml" ContentType="application/vnd.ms-office.chartcolorstyle+xml"/>
  <Override PartName="/word/charts/colors36.xml" ContentType="application/vnd.ms-office.chartcolorstyle+xml"/>
  <Override PartName="/word/charts/colors37.xml" ContentType="application/vnd.ms-office.chartcolorstyle+xml"/>
  <Override PartName="/word/charts/colors38.xml" ContentType="application/vnd.ms-office.chartcolorstyle+xml"/>
  <Override PartName="/word/charts/colors39.xml" ContentType="application/vnd.ms-office.chartcolorstyle+xml"/>
  <Override PartName="/word/charts/colors4.xml" ContentType="application/vnd.ms-office.chartcolorstyle+xml"/>
  <Override PartName="/word/charts/colors40.xml" ContentType="application/vnd.ms-office.chartcolorstyle+xml"/>
  <Override PartName="/word/charts/colors41.xml" ContentType="application/vnd.ms-office.chartcolorstyle+xml"/>
  <Override PartName="/word/charts/colors42.xml" ContentType="application/vnd.ms-office.chartcolorstyle+xml"/>
  <Override PartName="/word/charts/colors43.xml" ContentType="application/vnd.ms-office.chartcolorstyle+xml"/>
  <Override PartName="/word/charts/colors44.xml" ContentType="application/vnd.ms-office.chartcolorstyle+xml"/>
  <Override PartName="/word/charts/colors45.xml" ContentType="application/vnd.ms-office.chartcolorstyle+xml"/>
  <Override PartName="/word/charts/colors46.xml" ContentType="application/vnd.ms-office.chartcolorstyle+xml"/>
  <Override PartName="/word/charts/colors47.xml" ContentType="application/vnd.ms-office.chartcolorstyle+xml"/>
  <Override PartName="/word/charts/colors48.xml" ContentType="application/vnd.ms-office.chartcolorstyle+xml"/>
  <Override PartName="/word/charts/colors49.xml" ContentType="application/vnd.ms-office.chartcolorstyle+xml"/>
  <Override PartName="/word/charts/colors5.xml" ContentType="application/vnd.ms-office.chartcolorstyle+xml"/>
  <Override PartName="/word/charts/colors50.xml" ContentType="application/vnd.ms-office.chartcolorstyle+xml"/>
  <Override PartName="/word/charts/colors51.xml" ContentType="application/vnd.ms-office.chartcolorstyle+xml"/>
  <Override PartName="/word/charts/colors52.xml" ContentType="application/vnd.ms-office.chartcolorstyle+xml"/>
  <Override PartName="/word/charts/colors53.xml" ContentType="application/vnd.ms-office.chartcolorstyle+xml"/>
  <Override PartName="/word/charts/colors54.xml" ContentType="application/vnd.ms-office.chartcolorstyle+xml"/>
  <Override PartName="/word/charts/colors55.xml" ContentType="application/vnd.ms-office.chartcolorstyle+xml"/>
  <Override PartName="/word/charts/colors56.xml" ContentType="application/vnd.ms-office.chartcolorstyle+xml"/>
  <Override PartName="/word/charts/colors57.xml" ContentType="application/vnd.ms-office.chartcolorstyle+xml"/>
  <Override PartName="/word/charts/colors58.xml" ContentType="application/vnd.ms-office.chartcolorstyle+xml"/>
  <Override PartName="/word/charts/colors59.xml" ContentType="application/vnd.ms-office.chartcolorstyle+xml"/>
  <Override PartName="/word/charts/colors6.xml" ContentType="application/vnd.ms-office.chartcolorstyle+xml"/>
  <Override PartName="/word/charts/colors60.xml" ContentType="application/vnd.ms-office.chartcolorstyle+xml"/>
  <Override PartName="/word/charts/colors61.xml" ContentType="application/vnd.ms-office.chartcolorstyle+xml"/>
  <Override PartName="/word/charts/colors62.xml" ContentType="application/vnd.ms-office.chartcolorstyle+xml"/>
  <Override PartName="/word/charts/colors63.xml" ContentType="application/vnd.ms-office.chartcolorstyle+xml"/>
  <Override PartName="/word/charts/colors64.xml" ContentType="application/vnd.ms-office.chartcolorstyle+xml"/>
  <Override PartName="/word/charts/colors65.xml" ContentType="application/vnd.ms-office.chartcolorstyle+xml"/>
  <Override PartName="/word/charts/colors66.xml" ContentType="application/vnd.ms-office.chartcolorstyle+xml"/>
  <Override PartName="/word/charts/colors67.xml" ContentType="application/vnd.ms-office.chartcolorstyle+xml"/>
  <Override PartName="/word/charts/colors68.xml" ContentType="application/vnd.ms-office.chartcolorstyle+xml"/>
  <Override PartName="/word/charts/colors69.xml" ContentType="application/vnd.ms-office.chartcolorstyle+xml"/>
  <Override PartName="/word/charts/colors7.xml" ContentType="application/vnd.ms-office.chartcolorstyle+xml"/>
  <Override PartName="/word/charts/colors70.xml" ContentType="application/vnd.ms-office.chartcolorstyle+xml"/>
  <Override PartName="/word/charts/colors71.xml" ContentType="application/vnd.ms-office.chartcolorstyle+xml"/>
  <Override PartName="/word/charts/colors72.xml" ContentType="application/vnd.ms-office.chartcolorstyle+xml"/>
  <Override PartName="/word/charts/colors73.xml" ContentType="application/vnd.ms-office.chartcolorstyle+xml"/>
  <Override PartName="/word/charts/colors74.xml" ContentType="application/vnd.ms-office.chartcolorstyle+xml"/>
  <Override PartName="/word/charts/colors75.xml" ContentType="application/vnd.ms-office.chartcolorstyle+xml"/>
  <Override PartName="/word/charts/colors76.xml" ContentType="application/vnd.ms-office.chartcolorstyle+xml"/>
  <Override PartName="/word/charts/colors77.xml" ContentType="application/vnd.ms-office.chartcolorstyle+xml"/>
  <Override PartName="/word/charts/colors78.xml" ContentType="application/vnd.ms-office.chartcolorstyle+xml"/>
  <Override PartName="/word/charts/colors79.xml" ContentType="application/vnd.ms-office.chartcolorstyle+xml"/>
  <Override PartName="/word/charts/colors8.xml" ContentType="application/vnd.ms-office.chartcolorstyle+xml"/>
  <Override PartName="/word/charts/colors80.xml" ContentType="application/vnd.ms-office.chartcolorstyle+xml"/>
  <Override PartName="/word/charts/colors81.xml" ContentType="application/vnd.ms-office.chartcolorstyle+xml"/>
  <Override PartName="/word/charts/colors82.xml" ContentType="application/vnd.ms-office.chartcolorstyle+xml"/>
  <Override PartName="/word/charts/colors83.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12.xml" ContentType="application/vnd.ms-office.chartstyle+xml"/>
  <Override PartName="/word/charts/style13.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19.xml" ContentType="application/vnd.ms-office.chartstyle+xml"/>
  <Override PartName="/word/charts/style2.xml" ContentType="application/vnd.ms-office.chartstyle+xml"/>
  <Override PartName="/word/charts/style20.xml" ContentType="application/vnd.ms-office.chartstyle+xml"/>
  <Override PartName="/word/charts/style21.xml" ContentType="application/vnd.ms-office.chartstyle+xml"/>
  <Override PartName="/word/charts/style22.xml" ContentType="application/vnd.ms-office.chartstyle+xml"/>
  <Override PartName="/word/charts/style23.xml" ContentType="application/vnd.ms-office.chartstyle+xml"/>
  <Override PartName="/word/charts/style24.xml" ContentType="application/vnd.ms-office.chartstyle+xml"/>
  <Override PartName="/word/charts/style25.xml" ContentType="application/vnd.ms-office.chartstyle+xml"/>
  <Override PartName="/word/charts/style26.xml" ContentType="application/vnd.ms-office.chartstyle+xml"/>
  <Override PartName="/word/charts/style27.xml" ContentType="application/vnd.ms-office.chartstyle+xml"/>
  <Override PartName="/word/charts/style28.xml" ContentType="application/vnd.ms-office.chartstyle+xml"/>
  <Override PartName="/word/charts/style29.xml" ContentType="application/vnd.ms-office.chartstyle+xml"/>
  <Override PartName="/word/charts/style3.xml" ContentType="application/vnd.ms-office.chartstyle+xml"/>
  <Override PartName="/word/charts/style30.xml" ContentType="application/vnd.ms-office.chartstyle+xml"/>
  <Override PartName="/word/charts/style31.xml" ContentType="application/vnd.ms-office.chartstyle+xml"/>
  <Override PartName="/word/charts/style32.xml" ContentType="application/vnd.ms-office.chartstyle+xml"/>
  <Override PartName="/word/charts/style33.xml" ContentType="application/vnd.ms-office.chartstyle+xml"/>
  <Override PartName="/word/charts/style34.xml" ContentType="application/vnd.ms-office.chartstyle+xml"/>
  <Override PartName="/word/charts/style35.xml" ContentType="application/vnd.ms-office.chartstyle+xml"/>
  <Override PartName="/word/charts/style36.xml" ContentType="application/vnd.ms-office.chartstyle+xml"/>
  <Override PartName="/word/charts/style37.xml" ContentType="application/vnd.ms-office.chartstyle+xml"/>
  <Override PartName="/word/charts/style38.xml" ContentType="application/vnd.ms-office.chartstyle+xml"/>
  <Override PartName="/word/charts/style39.xml" ContentType="application/vnd.ms-office.chartstyle+xml"/>
  <Override PartName="/word/charts/style4.xml" ContentType="application/vnd.ms-office.chartstyle+xml"/>
  <Override PartName="/word/charts/style40.xml" ContentType="application/vnd.ms-office.chartstyle+xml"/>
  <Override PartName="/word/charts/style41.xml" ContentType="application/vnd.ms-office.chartstyle+xml"/>
  <Override PartName="/word/charts/style42.xml" ContentType="application/vnd.ms-office.chartstyle+xml"/>
  <Override PartName="/word/charts/style43.xml" ContentType="application/vnd.ms-office.chartstyle+xml"/>
  <Override PartName="/word/charts/style44.xml" ContentType="application/vnd.ms-office.chartstyle+xml"/>
  <Override PartName="/word/charts/style45.xml" ContentType="application/vnd.ms-office.chartstyle+xml"/>
  <Override PartName="/word/charts/style46.xml" ContentType="application/vnd.ms-office.chartstyle+xml"/>
  <Override PartName="/word/charts/style47.xml" ContentType="application/vnd.ms-office.chartstyle+xml"/>
  <Override PartName="/word/charts/style48.xml" ContentType="application/vnd.ms-office.chartstyle+xml"/>
  <Override PartName="/word/charts/style49.xml" ContentType="application/vnd.ms-office.chartstyle+xml"/>
  <Override PartName="/word/charts/style5.xml" ContentType="application/vnd.ms-office.chartstyle+xml"/>
  <Override PartName="/word/charts/style50.xml" ContentType="application/vnd.ms-office.chartstyle+xml"/>
  <Override PartName="/word/charts/style51.xml" ContentType="application/vnd.ms-office.chartstyle+xml"/>
  <Override PartName="/word/charts/style52.xml" ContentType="application/vnd.ms-office.chartstyle+xml"/>
  <Override PartName="/word/charts/style53.xml" ContentType="application/vnd.ms-office.chartstyle+xml"/>
  <Override PartName="/word/charts/style54.xml" ContentType="application/vnd.ms-office.chartstyle+xml"/>
  <Override PartName="/word/charts/style55.xml" ContentType="application/vnd.ms-office.chartstyle+xml"/>
  <Override PartName="/word/charts/style56.xml" ContentType="application/vnd.ms-office.chartstyle+xml"/>
  <Override PartName="/word/charts/style57.xml" ContentType="application/vnd.ms-office.chartstyle+xml"/>
  <Override PartName="/word/charts/style58.xml" ContentType="application/vnd.ms-office.chartstyle+xml"/>
  <Override PartName="/word/charts/style59.xml" ContentType="application/vnd.ms-office.chartstyle+xml"/>
  <Override PartName="/word/charts/style6.xml" ContentType="application/vnd.ms-office.chartstyle+xml"/>
  <Override PartName="/word/charts/style60.xml" ContentType="application/vnd.ms-office.chartstyle+xml"/>
  <Override PartName="/word/charts/style61.xml" ContentType="application/vnd.ms-office.chartstyle+xml"/>
  <Override PartName="/word/charts/style62.xml" ContentType="application/vnd.ms-office.chartstyle+xml"/>
  <Override PartName="/word/charts/style63.xml" ContentType="application/vnd.ms-office.chartstyle+xml"/>
  <Override PartName="/word/charts/style64.xml" ContentType="application/vnd.ms-office.chartstyle+xml"/>
  <Override PartName="/word/charts/style65.xml" ContentType="application/vnd.ms-office.chartstyle+xml"/>
  <Override PartName="/word/charts/style66.xml" ContentType="application/vnd.ms-office.chartstyle+xml"/>
  <Override PartName="/word/charts/style67.xml" ContentType="application/vnd.ms-office.chartstyle+xml"/>
  <Override PartName="/word/charts/style68.xml" ContentType="application/vnd.ms-office.chartstyle+xml"/>
  <Override PartName="/word/charts/style69.xml" ContentType="application/vnd.ms-office.chartstyle+xml"/>
  <Override PartName="/word/charts/style7.xml" ContentType="application/vnd.ms-office.chartstyle+xml"/>
  <Override PartName="/word/charts/style70.xml" ContentType="application/vnd.ms-office.chartstyle+xml"/>
  <Override PartName="/word/charts/style71.xml" ContentType="application/vnd.ms-office.chartstyle+xml"/>
  <Override PartName="/word/charts/style72.xml" ContentType="application/vnd.ms-office.chartstyle+xml"/>
  <Override PartName="/word/charts/style73.xml" ContentType="application/vnd.ms-office.chartstyle+xml"/>
  <Override PartName="/word/charts/style74.xml" ContentType="application/vnd.ms-office.chartstyle+xml"/>
  <Override PartName="/word/charts/style75.xml" ContentType="application/vnd.ms-office.chartstyle+xml"/>
  <Override PartName="/word/charts/style76.xml" ContentType="application/vnd.ms-office.chartstyle+xml"/>
  <Override PartName="/word/charts/style77.xml" ContentType="application/vnd.ms-office.chartstyle+xml"/>
  <Override PartName="/word/charts/style78.xml" ContentType="application/vnd.ms-office.chartstyle+xml"/>
  <Override PartName="/word/charts/style79.xml" ContentType="application/vnd.ms-office.chartstyle+xml"/>
  <Override PartName="/word/charts/style8.xml" ContentType="application/vnd.ms-office.chartstyle+xml"/>
  <Override PartName="/word/charts/style80.xml" ContentType="application/vnd.ms-office.chartstyle+xml"/>
  <Override PartName="/word/charts/style81.xml" ContentType="application/vnd.ms-office.chartstyle+xml"/>
  <Override PartName="/word/charts/style82.xml" ContentType="application/vnd.ms-office.chartstyle+xml"/>
  <Override PartName="/word/charts/style83.xml" ContentType="application/vnd.ms-office.chartstyle+xml"/>
  <Override PartName="/word/charts/style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center"/>
        <w:rPr>
          <w:rFonts w:ascii="黑体" w:hAnsi="黑体" w:eastAsia="黑体"/>
          <w:sz w:val="32"/>
          <w:szCs w:val="32"/>
        </w:rPr>
      </w:pPr>
      <w:r>
        <w:rPr>
          <w:rFonts w:ascii="黑体" w:hAnsi="黑体" w:eastAsia="黑体"/>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黑体" w:hAnsi="黑体" w:eastAsia="黑体"/>
          <w:sz w:val="32"/>
          <w:szCs w:val="32"/>
        </w:rPr>
        <w:instrText xml:space="preserve">ADDIN CNKISM.UserStyle</w:instrText>
      </w:r>
      <w:r>
        <w:rPr>
          <w:rFonts w:ascii="黑体" w:hAnsi="黑体" w:eastAsia="黑体"/>
          <w:sz w:val="32"/>
          <w:szCs w:val="32"/>
        </w:rPr>
        <w:fldChar w:fldCharType="end"/>
      </w:r>
    </w:p>
    <w:p>
      <w:pPr>
        <w:ind w:firstLine="640"/>
        <w:jc w:val="center"/>
        <w:rPr>
          <w:rFonts w:ascii="黑体" w:hAnsi="黑体" w:eastAsia="黑体"/>
          <w:sz w:val="32"/>
          <w:szCs w:val="32"/>
        </w:rPr>
      </w:pPr>
    </w:p>
    <w:p>
      <w:pPr>
        <w:ind w:firstLine="0" w:firstLineChars="0"/>
        <w:rPr>
          <w:rFonts w:ascii="黑体" w:hAnsi="黑体" w:eastAsia="黑体"/>
          <w:sz w:val="32"/>
          <w:szCs w:val="32"/>
        </w:rPr>
      </w:pPr>
    </w:p>
    <w:p>
      <w:pPr>
        <w:pStyle w:val="15"/>
      </w:pPr>
      <w:bookmarkStart w:id="0" w:name="_Toc19914"/>
      <w:bookmarkStart w:id="1" w:name="_Toc30909"/>
      <w:bookmarkStart w:id="2" w:name="_Toc19313550"/>
      <w:bookmarkStart w:id="3" w:name="_Toc48725372"/>
      <w:bookmarkStart w:id="4" w:name="_Toc19290389"/>
      <w:bookmarkStart w:id="5" w:name="_Toc48913639"/>
      <w:bookmarkStart w:id="6" w:name="_Toc48655856"/>
      <w:bookmarkStart w:id="7" w:name="_Toc19305542"/>
      <w:bookmarkStart w:id="8" w:name="_Toc19313009"/>
      <w:bookmarkStart w:id="9" w:name="_Toc48651950"/>
      <w:bookmarkStart w:id="10" w:name="_Toc19313109"/>
      <w:bookmarkStart w:id="11" w:name="_Toc48655329"/>
      <w:bookmarkStart w:id="12" w:name="_Toc48724915"/>
      <w:bookmarkStart w:id="13" w:name="_Toc19293418"/>
      <w:r>
        <w:rPr>
          <w:rFonts w:hint="eastAsia"/>
        </w:rPr>
        <w:t>2020年全国网民网络安全感满意度调查</w:t>
      </w:r>
      <w:bookmarkEnd w:id="0"/>
      <w:bookmarkEnd w:id="1"/>
      <w:bookmarkEnd w:id="2"/>
      <w:bookmarkEnd w:id="3"/>
      <w:bookmarkEnd w:id="4"/>
      <w:bookmarkEnd w:id="5"/>
      <w:bookmarkEnd w:id="6"/>
      <w:bookmarkEnd w:id="7"/>
      <w:bookmarkEnd w:id="8"/>
      <w:bookmarkEnd w:id="9"/>
      <w:bookmarkEnd w:id="10"/>
      <w:bookmarkEnd w:id="11"/>
      <w:bookmarkEnd w:id="12"/>
      <w:bookmarkEnd w:id="13"/>
    </w:p>
    <w:p>
      <w:pPr>
        <w:pStyle w:val="15"/>
        <w:ind w:firstLine="480"/>
      </w:pPr>
      <w:bookmarkStart w:id="14" w:name="_Toc48651951"/>
      <w:bookmarkStart w:id="15" w:name="_Toc19313110"/>
      <w:bookmarkStart w:id="16" w:name="_Toc19305543"/>
      <w:bookmarkStart w:id="17" w:name="_Toc19313010"/>
      <w:bookmarkStart w:id="18" w:name="_Toc48655330"/>
      <w:bookmarkStart w:id="19" w:name="_Toc48655857"/>
      <w:bookmarkStart w:id="20" w:name="_Toc18143"/>
      <w:bookmarkStart w:id="21" w:name="_Toc48724916"/>
      <w:bookmarkStart w:id="22" w:name="_Toc48913640"/>
      <w:bookmarkStart w:id="23" w:name="_Toc19313551"/>
      <w:bookmarkStart w:id="24" w:name="_Toc3184"/>
      <w:bookmarkStart w:id="25" w:name="_Toc19290390"/>
      <w:bookmarkStart w:id="26" w:name="_Toc48725373"/>
      <w:bookmarkStart w:id="27" w:name="_Toc19293419"/>
      <w:r>
        <w:rPr>
          <w:rFonts w:hint="eastAsia"/>
        </w:rPr>
        <w:t>统计报告</w:t>
      </w:r>
      <w:bookmarkEnd w:id="14"/>
      <w:bookmarkEnd w:id="15"/>
      <w:bookmarkEnd w:id="16"/>
      <w:bookmarkEnd w:id="17"/>
      <w:bookmarkEnd w:id="18"/>
      <w:bookmarkEnd w:id="19"/>
      <w:bookmarkEnd w:id="20"/>
      <w:bookmarkEnd w:id="21"/>
      <w:bookmarkEnd w:id="22"/>
      <w:bookmarkEnd w:id="23"/>
      <w:bookmarkEnd w:id="24"/>
      <w:bookmarkEnd w:id="25"/>
      <w:bookmarkEnd w:id="26"/>
      <w:bookmarkEnd w:id="27"/>
    </w:p>
    <w:p>
      <w:pPr>
        <w:ind w:firstLine="720"/>
        <w:jc w:val="center"/>
        <w:rPr>
          <w:rFonts w:ascii="黑体" w:hAnsi="黑体" w:eastAsia="黑体"/>
          <w:sz w:val="36"/>
          <w:szCs w:val="36"/>
        </w:rPr>
      </w:pPr>
      <w:r>
        <w:rPr>
          <w:rFonts w:hint="eastAsia" w:ascii="黑体" w:hAnsi="黑体" w:eastAsia="黑体"/>
          <w:sz w:val="36"/>
          <w:szCs w:val="36"/>
        </w:rPr>
        <w:t>（从业人员版）</w:t>
      </w: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643"/>
        <w:jc w:val="center"/>
        <w:rPr>
          <w:rFonts w:ascii="黑体" w:hAnsi="黑体" w:eastAsia="黑体"/>
          <w:b/>
          <w:sz w:val="32"/>
          <w:szCs w:val="32"/>
        </w:rPr>
      </w:pPr>
      <w:r>
        <w:rPr>
          <w:rFonts w:hint="eastAsia" w:ascii="黑体" w:hAnsi="黑体" w:eastAsia="黑体"/>
          <w:b/>
          <w:sz w:val="32"/>
          <w:szCs w:val="32"/>
        </w:rPr>
        <w:t>重庆卷</w:t>
      </w:r>
    </w:p>
    <w:p>
      <w:pPr>
        <w:ind w:firstLine="640"/>
        <w:jc w:val="center"/>
        <w:rPr>
          <w:rFonts w:ascii="黑体" w:hAnsi="黑体" w:eastAsia="黑体"/>
          <w:sz w:val="32"/>
          <w:szCs w:val="32"/>
        </w:rPr>
      </w:pPr>
    </w:p>
    <w:p>
      <w:pPr>
        <w:ind w:firstLine="0" w:firstLineChars="0"/>
        <w:rPr>
          <w:rFonts w:ascii="黑体" w:hAnsi="黑体" w:eastAsia="黑体"/>
          <w:sz w:val="32"/>
          <w:szCs w:val="32"/>
        </w:rPr>
      </w:pPr>
    </w:p>
    <w:p>
      <w:pPr>
        <w:ind w:firstLine="0" w:firstLineChars="0"/>
        <w:rPr>
          <w:rFonts w:ascii="黑体" w:hAnsi="黑体" w:eastAsia="黑体"/>
          <w:sz w:val="32"/>
          <w:szCs w:val="32"/>
        </w:rPr>
      </w:pPr>
    </w:p>
    <w:p>
      <w:pPr>
        <w:ind w:firstLine="0" w:firstLineChars="0"/>
        <w:rPr>
          <w:rFonts w:ascii="黑体" w:hAnsi="黑体" w:eastAsia="黑体"/>
          <w:sz w:val="32"/>
          <w:szCs w:val="32"/>
        </w:rPr>
      </w:pP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38"/>
        <w:gridCol w:w="64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ind w:firstLine="0" w:firstLineChars="0"/>
              <w:rPr>
                <w:rFonts w:eastAsia="黑体" w:cstheme="minorHAnsi"/>
                <w:sz w:val="28"/>
                <w:szCs w:val="28"/>
              </w:rPr>
            </w:pPr>
            <w:r>
              <w:rPr>
                <w:rFonts w:hint="eastAsia" w:eastAsia="黑体" w:cstheme="minorHAnsi"/>
                <w:sz w:val="28"/>
                <w:szCs w:val="28"/>
              </w:rPr>
              <w:t>指导单位：</w:t>
            </w:r>
          </w:p>
        </w:tc>
        <w:tc>
          <w:tcPr>
            <w:tcW w:w="6464" w:type="dxa"/>
          </w:tcPr>
          <w:p>
            <w:pPr>
              <w:ind w:firstLine="0" w:firstLineChars="0"/>
              <w:rPr>
                <w:rFonts w:eastAsia="黑体" w:cstheme="minorHAnsi"/>
                <w:sz w:val="28"/>
                <w:szCs w:val="28"/>
              </w:rPr>
            </w:pPr>
            <w:r>
              <w:rPr>
                <w:rFonts w:hint="eastAsia" w:eastAsia="黑体" w:cstheme="minorHAnsi"/>
                <w:sz w:val="28"/>
                <w:szCs w:val="28"/>
              </w:rPr>
              <w:t>公安部网络安全保卫局</w:t>
            </w:r>
          </w:p>
          <w:p>
            <w:pPr>
              <w:ind w:firstLine="0" w:firstLineChars="0"/>
              <w:rPr>
                <w:rFonts w:eastAsia="黑体" w:cstheme="minorHAnsi"/>
                <w:sz w:val="28"/>
                <w:szCs w:val="28"/>
              </w:rPr>
            </w:pPr>
            <w:r>
              <w:rPr>
                <w:rFonts w:hint="eastAsia" w:eastAsia="黑体" w:cstheme="minorHAnsi"/>
                <w:sz w:val="28"/>
                <w:szCs w:val="28"/>
              </w:rPr>
              <w:t>重庆市公安局网络安全保卫总队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ind w:firstLine="0" w:firstLineChars="0"/>
              <w:rPr>
                <w:rFonts w:eastAsia="黑体" w:cstheme="minorHAnsi"/>
                <w:sz w:val="28"/>
                <w:szCs w:val="28"/>
              </w:rPr>
            </w:pPr>
            <w:r>
              <w:rPr>
                <w:rFonts w:hint="eastAsia" w:eastAsia="黑体" w:cstheme="minorHAnsi"/>
                <w:sz w:val="28"/>
                <w:szCs w:val="28"/>
              </w:rPr>
              <w:t>发起单位：</w:t>
            </w:r>
          </w:p>
        </w:tc>
        <w:tc>
          <w:tcPr>
            <w:tcW w:w="6464" w:type="dxa"/>
          </w:tcPr>
          <w:p>
            <w:pPr>
              <w:ind w:firstLine="0" w:firstLineChars="0"/>
              <w:rPr>
                <w:rFonts w:eastAsia="黑体" w:cstheme="minorHAnsi"/>
                <w:sz w:val="28"/>
                <w:szCs w:val="28"/>
              </w:rPr>
            </w:pPr>
            <w:r>
              <w:rPr>
                <w:rFonts w:hint="eastAsia" w:eastAsia="黑体" w:cstheme="minorHAnsi"/>
                <w:sz w:val="28"/>
                <w:szCs w:val="28"/>
              </w:rPr>
              <w:t>重庆市信息安全协会等</w:t>
            </w:r>
          </w:p>
          <w:p>
            <w:pPr>
              <w:ind w:firstLine="0" w:firstLineChars="0"/>
              <w:rPr>
                <w:rFonts w:eastAsia="黑体" w:cstheme="minorHAnsi"/>
                <w:sz w:val="28"/>
                <w:szCs w:val="28"/>
              </w:rPr>
            </w:pPr>
            <w:r>
              <w:rPr>
                <w:rFonts w:hint="eastAsia" w:eastAsia="黑体" w:cstheme="minorHAnsi"/>
                <w:sz w:val="28"/>
                <w:szCs w:val="28"/>
              </w:rPr>
              <w:t>全国135家网络安全行业协会及相关社会组织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ind w:firstLine="0" w:firstLineChars="0"/>
              <w:rPr>
                <w:rFonts w:eastAsia="黑体" w:cstheme="minorHAnsi"/>
                <w:sz w:val="28"/>
                <w:szCs w:val="28"/>
              </w:rPr>
            </w:pPr>
            <w:r>
              <w:rPr>
                <w:rFonts w:hint="eastAsia" w:eastAsia="黑体" w:cstheme="minorHAnsi"/>
                <w:sz w:val="28"/>
                <w:szCs w:val="28"/>
              </w:rPr>
              <w:t>承办单位：</w:t>
            </w:r>
          </w:p>
        </w:tc>
        <w:tc>
          <w:tcPr>
            <w:tcW w:w="6464" w:type="dxa"/>
          </w:tcPr>
          <w:p>
            <w:pPr>
              <w:ind w:firstLine="0" w:firstLineChars="0"/>
              <w:rPr>
                <w:rFonts w:eastAsia="黑体" w:cstheme="minorHAnsi"/>
                <w:sz w:val="28"/>
                <w:szCs w:val="28"/>
              </w:rPr>
            </w:pPr>
            <w:r>
              <w:rPr>
                <w:rFonts w:eastAsia="黑体" w:cstheme="minorHAnsi"/>
                <w:sz w:val="28"/>
                <w:szCs w:val="28"/>
              </w:rPr>
              <w:t>广东新兴国家网络安全和信息化发展研究院</w:t>
            </w:r>
          </w:p>
        </w:tc>
      </w:tr>
    </w:tbl>
    <w:p>
      <w:pPr>
        <w:ind w:firstLine="562"/>
        <w:jc w:val="center"/>
        <w:rPr>
          <w:rFonts w:ascii="黑体" w:hAnsi="黑体" w:eastAsia="黑体"/>
          <w:b w:val="0"/>
          <w:bCs/>
          <w:sz w:val="28"/>
          <w:szCs w:val="28"/>
        </w:rPr>
      </w:pPr>
      <w:r>
        <w:rPr>
          <w:rFonts w:hint="eastAsia" w:ascii="黑体" w:hAnsi="黑体" w:eastAsia="黑体"/>
          <w:b w:val="0"/>
          <w:bCs/>
          <w:sz w:val="28"/>
          <w:szCs w:val="28"/>
        </w:rPr>
        <w:t>2020-9</w:t>
      </w:r>
    </w:p>
    <w:p>
      <w:pPr>
        <w:rPr>
          <w:b w:val="0"/>
          <w:bCs/>
          <w:sz w:val="28"/>
          <w:szCs w:val="28"/>
        </w:rPr>
      </w:pPr>
    </w:p>
    <w:p>
      <w:pPr>
        <w:sectPr>
          <w:headerReference r:id="rId4" w:type="first"/>
          <w:headerReference r:id="rId3" w:type="default"/>
          <w:footerReference r:id="rId5" w:type="default"/>
          <w:pgSz w:w="11906" w:h="16838"/>
          <w:pgMar w:top="1440" w:right="1797" w:bottom="1440" w:left="1797" w:header="709" w:footer="709" w:gutter="0"/>
          <w:pgNumType w:start="1"/>
          <w:cols w:space="708" w:num="1"/>
          <w:titlePg/>
          <w:docGrid w:linePitch="360" w:charSpace="0"/>
        </w:sectPr>
      </w:pPr>
    </w:p>
    <w:p/>
    <w:p/>
    <w:p/>
    <w:p/>
    <w:p/>
    <w:p/>
    <w:p/>
    <w:p/>
    <w:p/>
    <w:p/>
    <w:p/>
    <w:p/>
    <w:p/>
    <w:p/>
    <w:p/>
    <w:p/>
    <w:p/>
    <w:p/>
    <w:p/>
    <w:p/>
    <w:p>
      <w:pPr>
        <w:ind w:firstLine="0" w:firstLineChars="0"/>
      </w:pPr>
    </w:p>
    <w:p>
      <w:pPr>
        <w:spacing w:line="420" w:lineRule="exact"/>
        <w:rPr>
          <w:rFonts w:ascii="黑体" w:hAnsi="黑体" w:eastAsia="黑体" w:cs="黑体"/>
        </w:rPr>
      </w:pPr>
      <w:r>
        <w:rPr>
          <w:rFonts w:hint="eastAsia" w:ascii="黑体" w:hAnsi="黑体" w:eastAsia="黑体" w:cs="黑体"/>
        </w:rPr>
        <w:t>本报告数据来源于2020网民网络安全感满意度调查活动，任何组织和个人引用本报告中的数据和内容须注明来源出处。</w:t>
      </w:r>
    </w:p>
    <w:p>
      <w:pPr>
        <w:spacing w:before="120" w:beforeLines="50" w:line="420" w:lineRule="exact"/>
        <w:rPr>
          <w:rFonts w:ascii="黑体" w:hAnsi="黑体" w:eastAsia="黑体" w:cs="黑体"/>
        </w:rPr>
      </w:pPr>
      <w:r>
        <w:rPr>
          <w:rFonts w:hint="eastAsia" w:ascii="黑体" w:hAnsi="黑体" w:eastAsia="黑体" w:cs="黑体"/>
        </w:rPr>
        <w:t>组委会欢迎有关研究机构合作，深入挖掘调查数据价值，有需要者请与组委会秘书处联系。</w:t>
      </w:r>
    </w:p>
    <w:p>
      <w:pPr>
        <w:pStyle w:val="14"/>
        <w:spacing w:before="120" w:beforeLines="50" w:line="420" w:lineRule="exact"/>
        <w:rPr>
          <w:rFonts w:ascii="黑体" w:hAnsi="黑体" w:eastAsia="黑体" w:cs="黑体"/>
        </w:rPr>
      </w:pPr>
      <w:bookmarkStart w:id="28" w:name="_Toc19203631"/>
      <w:r>
        <w:rPr>
          <w:rFonts w:ascii="黑体" w:hAnsi="黑体" w:eastAsia="黑体" w:cs="黑体"/>
        </w:rPr>
        <w:drawing>
          <wp:anchor distT="0" distB="0" distL="114300" distR="114300" simplePos="0" relativeHeight="251657216" behindDoc="0" locked="0" layoutInCell="1" allowOverlap="1">
            <wp:simplePos x="0" y="0"/>
            <wp:positionH relativeFrom="column">
              <wp:posOffset>3931285</wp:posOffset>
            </wp:positionH>
            <wp:positionV relativeFrom="paragraph">
              <wp:posOffset>12700</wp:posOffset>
            </wp:positionV>
            <wp:extent cx="659130" cy="659130"/>
            <wp:effectExtent l="0" t="0" r="0" b="0"/>
            <wp:wrapNone/>
            <wp:docPr id="286"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1" descr="二维码"/>
                    <pic:cNvPicPr>
                      <a:picLocks noChangeAspect="1"/>
                    </pic:cNvPicPr>
                  </pic:nvPicPr>
                  <pic:blipFill>
                    <a:blip r:embed="rId16" cstate="print"/>
                    <a:stretch>
                      <a:fillRect/>
                    </a:stretch>
                  </pic:blipFill>
                  <pic:spPr>
                    <a:xfrm>
                      <a:off x="0" y="0"/>
                      <a:ext cx="659130" cy="659130"/>
                    </a:xfrm>
                    <a:prstGeom prst="rect">
                      <a:avLst/>
                    </a:prstGeom>
                  </pic:spPr>
                </pic:pic>
              </a:graphicData>
            </a:graphic>
          </wp:anchor>
        </w:drawing>
      </w:r>
      <w:r>
        <w:rPr>
          <w:rFonts w:ascii="黑体" w:hAnsi="黑体" w:eastAsia="黑体" w:cs="黑体"/>
        </w:rPr>
        <w:t>报告查询</w:t>
      </w:r>
      <w:r>
        <w:rPr>
          <w:rFonts w:ascii="楷体" w:hAnsi="楷体" w:eastAsia="楷体" w:cs="楷体"/>
        </w:rPr>
        <w:t>（总报告及区域、专题、行业报告）</w:t>
      </w:r>
      <w:r>
        <w:rPr>
          <w:rFonts w:ascii="黑体" w:hAnsi="黑体" w:eastAsia="黑体" w:cs="黑体"/>
        </w:rPr>
        <w:t>：</w:t>
      </w:r>
      <w:bookmarkEnd w:id="28"/>
    </w:p>
    <w:p>
      <w:pPr>
        <w:pStyle w:val="14"/>
        <w:spacing w:line="420" w:lineRule="exact"/>
        <w:rPr>
          <w:rFonts w:ascii="黑体" w:hAnsi="黑体" w:eastAsia="黑体" w:cs="黑体"/>
        </w:rPr>
      </w:pPr>
      <w:bookmarkStart w:id="29" w:name="_Toc19203632"/>
      <w:r>
        <w:rPr>
          <w:rFonts w:ascii="黑体" w:hAnsi="黑体" w:eastAsia="黑体" w:cs="黑体"/>
        </w:rPr>
        <w:t>网络安全共建网：www.iscn.org.cn“网安联”公众号：</w:t>
      </w:r>
      <w:bookmarkEnd w:id="29"/>
    </w:p>
    <w:p>
      <w:pPr>
        <w:spacing w:before="120" w:beforeLines="50" w:line="420" w:lineRule="exact"/>
        <w:rPr>
          <w:rFonts w:hint="eastAsia" w:ascii="黑体" w:hAnsi="黑体" w:eastAsia="黑体" w:cs="黑体"/>
        </w:rPr>
      </w:pPr>
      <w:r>
        <w:rPr>
          <w:rFonts w:hint="eastAsia" w:ascii="黑体" w:hAnsi="黑体" w:eastAsia="黑体" w:cs="黑体"/>
        </w:rPr>
        <w:t>联系方式：办公室020-83113010/林先生：13911345288</w:t>
      </w:r>
    </w:p>
    <w:p>
      <w:pPr>
        <w:pBdr>
          <w:bottom w:val="thinThickThinMediumGap" w:color="auto" w:sz="18" w:space="0"/>
        </w:pBdr>
        <w:spacing w:after="120" w:afterLines="50" w:line="420" w:lineRule="exact"/>
        <w:rPr>
          <w:rFonts w:ascii="黑体" w:hAnsi="黑体" w:eastAsia="黑体" w:cs="黑体"/>
        </w:rPr>
      </w:pPr>
      <w:bookmarkStart w:id="1006" w:name="_GoBack"/>
      <w:bookmarkEnd w:id="1006"/>
      <w:r>
        <w:rPr>
          <w:rFonts w:hint="eastAsia" w:ascii="黑体" w:hAnsi="黑体" w:eastAsia="黑体" w:cs="黑体"/>
        </w:rPr>
        <w:t>邮箱地址：</w:t>
      </w:r>
      <w:r>
        <w:fldChar w:fldCharType="begin"/>
      </w:r>
      <w:r>
        <w:instrText xml:space="preserve"> HYPERLINK "mailto:cinsabj@163.com" </w:instrText>
      </w:r>
      <w:r>
        <w:fldChar w:fldCharType="separate"/>
      </w:r>
      <w:r>
        <w:rPr>
          <w:rFonts w:hint="eastAsia" w:ascii="黑体" w:hAnsi="黑体" w:eastAsia="黑体" w:cs="黑体"/>
        </w:rPr>
        <w:t>cinsabj@163.com</w:t>
      </w:r>
      <w:r>
        <w:rPr>
          <w:rFonts w:hint="eastAsia" w:ascii="黑体" w:hAnsi="黑体" w:eastAsia="黑体" w:cs="黑体"/>
        </w:rPr>
        <w:fldChar w:fldCharType="end"/>
      </w:r>
    </w:p>
    <w:p>
      <w:pPr>
        <w:widowControl/>
        <w:adjustRightInd/>
        <w:snapToGrid/>
        <w:spacing w:line="240" w:lineRule="auto"/>
        <w:ind w:firstLine="0" w:firstLineChars="0"/>
        <w:jc w:val="left"/>
        <w:sectPr>
          <w:headerReference r:id="rId6" w:type="first"/>
          <w:footerReference r:id="rId8" w:type="first"/>
          <w:footerReference r:id="rId7" w:type="default"/>
          <w:pgSz w:w="11906" w:h="16838"/>
          <w:pgMar w:top="1440" w:right="1797" w:bottom="1440" w:left="1797" w:header="709" w:footer="709" w:gutter="0"/>
          <w:pgNumType w:start="1"/>
          <w:cols w:space="708" w:num="1"/>
          <w:titlePg/>
          <w:docGrid w:linePitch="360" w:charSpace="0"/>
        </w:sectPr>
      </w:pPr>
    </w:p>
    <w:p>
      <w:pPr>
        <w:widowControl/>
        <w:adjustRightInd/>
        <w:snapToGrid/>
        <w:spacing w:line="240" w:lineRule="auto"/>
        <w:ind w:firstLine="0" w:firstLineChars="0"/>
        <w:jc w:val="left"/>
      </w:pPr>
    </w:p>
    <w:sdt>
      <w:sdtPr>
        <w:rPr>
          <w:b/>
          <w:bCs/>
          <w:lang w:val="zh-CN"/>
        </w:rPr>
        <w:id w:val="3374630"/>
        <w:docPartObj>
          <w:docPartGallery w:val="Table of Contents"/>
          <w:docPartUnique/>
        </w:docPartObj>
      </w:sdtPr>
      <w:sdtEndPr>
        <w:rPr>
          <w:b w:val="0"/>
          <w:bCs w:val="0"/>
          <w:lang w:val="en-US"/>
        </w:rPr>
      </w:sdtEndPr>
      <w:sdtContent>
        <w:p>
          <w:pPr>
            <w:ind w:firstLine="482"/>
            <w:jc w:val="center"/>
          </w:pPr>
          <w:r>
            <w:rPr>
              <w:b/>
              <w:bCs/>
              <w:lang w:val="zh-CN"/>
            </w:rPr>
            <w:t>目录</w:t>
          </w:r>
          <w:r>
            <w:fldChar w:fldCharType="begin"/>
          </w:r>
          <w:r>
            <w:instrText xml:space="preserve"> TOC \o "1-3" \h \z \u </w:instrText>
          </w:r>
          <w:r>
            <w:fldChar w:fldCharType="separate"/>
          </w:r>
        </w:p>
        <w:p>
          <w:pPr>
            <w:pStyle w:val="11"/>
            <w:tabs>
              <w:tab w:val="right" w:leader="dot" w:pos="8312"/>
            </w:tabs>
          </w:pPr>
          <w:r>
            <w:fldChar w:fldCharType="begin"/>
          </w:r>
          <w:r>
            <w:instrText xml:space="preserve"> HYPERLINK \l "_Toc3630" </w:instrText>
          </w:r>
          <w:r>
            <w:fldChar w:fldCharType="separate"/>
          </w:r>
          <w:r>
            <w:rPr>
              <w:rFonts w:hint="eastAsia"/>
            </w:rPr>
            <w:t>一、前言</w:t>
          </w:r>
          <w:r>
            <w:tab/>
          </w:r>
          <w:r>
            <w:fldChar w:fldCharType="end"/>
          </w:r>
        </w:p>
        <w:p>
          <w:pPr>
            <w:pStyle w:val="11"/>
            <w:tabs>
              <w:tab w:val="right" w:leader="dot" w:pos="8312"/>
            </w:tabs>
          </w:pPr>
          <w:r>
            <w:fldChar w:fldCharType="begin"/>
          </w:r>
          <w:r>
            <w:instrText xml:space="preserve"> HYPERLINK \l "_Toc6879" </w:instrText>
          </w:r>
          <w:r>
            <w:fldChar w:fldCharType="separate"/>
          </w:r>
          <w:r>
            <w:rPr>
              <w:rFonts w:hint="eastAsia"/>
            </w:rPr>
            <w:t>二、主要发现</w:t>
          </w:r>
          <w:r>
            <w:tab/>
          </w:r>
          <w:r>
            <w:fldChar w:fldCharType="end"/>
          </w:r>
        </w:p>
        <w:p>
          <w:pPr>
            <w:pStyle w:val="13"/>
            <w:tabs>
              <w:tab w:val="right" w:leader="dot" w:pos="8312"/>
            </w:tabs>
            <w:ind w:left="480"/>
          </w:pPr>
          <w:r>
            <w:fldChar w:fldCharType="begin"/>
          </w:r>
          <w:r>
            <w:instrText xml:space="preserve"> HYPERLINK \l "_Toc9663" </w:instrText>
          </w:r>
          <w:r>
            <w:fldChar w:fldCharType="separate"/>
          </w:r>
          <w:r>
            <w:rPr>
              <w:rFonts w:hint="eastAsia"/>
            </w:rPr>
            <w:t>2.1从业人员网络安全感有所提升</w:t>
          </w:r>
          <w:r>
            <w:tab/>
          </w:r>
          <w:r>
            <w:fldChar w:fldCharType="end"/>
          </w:r>
        </w:p>
        <w:p>
          <w:pPr>
            <w:pStyle w:val="13"/>
            <w:tabs>
              <w:tab w:val="right" w:leader="dot" w:pos="8312"/>
            </w:tabs>
            <w:ind w:left="480"/>
          </w:pPr>
          <w:r>
            <w:fldChar w:fldCharType="begin"/>
          </w:r>
          <w:r>
            <w:instrText xml:space="preserve"> HYPERLINK \l "_Toc32312" </w:instrText>
          </w:r>
          <w:r>
            <w:fldChar w:fldCharType="separate"/>
          </w:r>
          <w:r>
            <w:rPr>
              <w:rFonts w:hint="eastAsia"/>
            </w:rPr>
            <w:t>2.2网络安全态势严峻，供应链安全风险受到关注</w:t>
          </w:r>
          <w:r>
            <w:tab/>
          </w:r>
          <w:r>
            <w:fldChar w:fldCharType="end"/>
          </w:r>
        </w:p>
        <w:p>
          <w:pPr>
            <w:pStyle w:val="13"/>
            <w:tabs>
              <w:tab w:val="right" w:leader="dot" w:pos="8312"/>
            </w:tabs>
            <w:ind w:left="480"/>
          </w:pPr>
          <w:r>
            <w:fldChar w:fldCharType="begin"/>
          </w:r>
          <w:r>
            <w:instrText xml:space="preserve"> HYPERLINK \l "_Toc9648" </w:instrText>
          </w:r>
          <w:r>
            <w:fldChar w:fldCharType="separate"/>
          </w:r>
          <w:r>
            <w:rPr>
              <w:rFonts w:hint="eastAsia"/>
            </w:rPr>
            <w:t>2.3信息泄露、网络诈骗等问题仍比较突出，打击网络黑灰产业成为关注热点</w:t>
          </w:r>
          <w:r>
            <w:tab/>
          </w:r>
          <w:r>
            <w:fldChar w:fldCharType="end"/>
          </w:r>
        </w:p>
        <w:p>
          <w:pPr>
            <w:pStyle w:val="13"/>
            <w:tabs>
              <w:tab w:val="right" w:leader="dot" w:pos="8312"/>
            </w:tabs>
            <w:ind w:left="480"/>
          </w:pPr>
          <w:r>
            <w:fldChar w:fldCharType="begin"/>
          </w:r>
          <w:r>
            <w:instrText xml:space="preserve"> HYPERLINK \l "_Toc2060" </w:instrText>
          </w:r>
          <w:r>
            <w:fldChar w:fldCharType="separate"/>
          </w:r>
          <w:r>
            <w:rPr>
              <w:rFonts w:hint="eastAsia"/>
            </w:rPr>
            <w:t>2.4网络安全依法治理不断完善，加强法制建设成为主要诉求</w:t>
          </w:r>
          <w:r>
            <w:tab/>
          </w:r>
          <w:r>
            <w:fldChar w:fldCharType="end"/>
          </w:r>
        </w:p>
        <w:p>
          <w:pPr>
            <w:pStyle w:val="13"/>
            <w:tabs>
              <w:tab w:val="right" w:leader="dot" w:pos="8312"/>
            </w:tabs>
            <w:ind w:left="480"/>
          </w:pPr>
          <w:r>
            <w:fldChar w:fldCharType="begin"/>
          </w:r>
          <w:r>
            <w:instrText xml:space="preserve"> HYPERLINK \l "_Toc21599" </w:instrText>
          </w:r>
          <w:r>
            <w:fldChar w:fldCharType="separate"/>
          </w:r>
          <w:r>
            <w:rPr>
              <w:rFonts w:hint="eastAsia"/>
            </w:rPr>
            <w:t>2.5网络安全监管取得成效，网络安全等级保护制度进一步落实</w:t>
          </w:r>
          <w:r>
            <w:tab/>
          </w:r>
          <w:r>
            <w:fldChar w:fldCharType="end"/>
          </w:r>
        </w:p>
        <w:p>
          <w:pPr>
            <w:pStyle w:val="13"/>
            <w:tabs>
              <w:tab w:val="right" w:leader="dot" w:pos="8312"/>
            </w:tabs>
            <w:ind w:left="480"/>
          </w:pPr>
          <w:r>
            <w:fldChar w:fldCharType="begin"/>
          </w:r>
          <w:r>
            <w:instrText xml:space="preserve"> HYPERLINK \l "_Toc23590" </w:instrText>
          </w:r>
          <w:r>
            <w:fldChar w:fldCharType="separate"/>
          </w:r>
          <w:r>
            <w:rPr>
              <w:rFonts w:hint="eastAsia"/>
            </w:rPr>
            <w:t>2.6企业网络安全合规遵循有所加强，网络安全管理有所改善</w:t>
          </w:r>
          <w:r>
            <w:tab/>
          </w:r>
          <w:r>
            <w:fldChar w:fldCharType="end"/>
          </w:r>
        </w:p>
        <w:p>
          <w:pPr>
            <w:pStyle w:val="13"/>
            <w:tabs>
              <w:tab w:val="right" w:leader="dot" w:pos="8312"/>
            </w:tabs>
            <w:ind w:left="480"/>
          </w:pPr>
          <w:r>
            <w:fldChar w:fldCharType="begin"/>
          </w:r>
          <w:r>
            <w:instrText xml:space="preserve"> HYPERLINK \l "_Toc27069" </w:instrText>
          </w:r>
          <w:r>
            <w:fldChar w:fldCharType="separate"/>
          </w:r>
          <w:r>
            <w:rPr>
              <w:rFonts w:hint="eastAsia"/>
            </w:rPr>
            <w:t>2.7新技术应用发展迅速，安全风险受到关注</w:t>
          </w:r>
          <w:r>
            <w:tab/>
          </w:r>
          <w:r>
            <w:fldChar w:fldCharType="end"/>
          </w:r>
        </w:p>
        <w:p>
          <w:pPr>
            <w:pStyle w:val="13"/>
            <w:tabs>
              <w:tab w:val="right" w:leader="dot" w:pos="8312"/>
            </w:tabs>
            <w:ind w:left="480"/>
          </w:pPr>
          <w:r>
            <w:fldChar w:fldCharType="begin"/>
          </w:r>
          <w:r>
            <w:instrText xml:space="preserve"> HYPERLINK \l "_Toc20641" </w:instrText>
          </w:r>
          <w:r>
            <w:fldChar w:fldCharType="separate"/>
          </w:r>
          <w:r>
            <w:rPr>
              <w:rFonts w:hint="eastAsia"/>
            </w:rPr>
            <w:t>2.8网络安全行业进入快速发展阶段，技术研发和人才培养是关键</w:t>
          </w:r>
          <w:r>
            <w:tab/>
          </w:r>
          <w:r>
            <w:fldChar w:fldCharType="end"/>
          </w:r>
        </w:p>
        <w:p>
          <w:pPr>
            <w:pStyle w:val="11"/>
            <w:tabs>
              <w:tab w:val="right" w:leader="dot" w:pos="8312"/>
            </w:tabs>
          </w:pPr>
          <w:r>
            <w:fldChar w:fldCharType="begin"/>
          </w:r>
          <w:r>
            <w:instrText xml:space="preserve"> HYPERLINK \l "_Toc12713" </w:instrText>
          </w:r>
          <w:r>
            <w:fldChar w:fldCharType="separate"/>
          </w:r>
          <w:r>
            <w:rPr>
              <w:rFonts w:hint="eastAsia"/>
            </w:rPr>
            <w:t>三、网民基本情况</w:t>
          </w:r>
          <w:r>
            <w:tab/>
          </w:r>
          <w:r>
            <w:fldChar w:fldCharType="end"/>
          </w:r>
        </w:p>
        <w:p>
          <w:pPr>
            <w:pStyle w:val="13"/>
            <w:tabs>
              <w:tab w:val="right" w:leader="dot" w:pos="8312"/>
            </w:tabs>
            <w:ind w:left="480"/>
          </w:pPr>
          <w:r>
            <w:fldChar w:fldCharType="begin"/>
          </w:r>
          <w:r>
            <w:instrText xml:space="preserve"> HYPERLINK \l "_Toc16231" </w:instrText>
          </w:r>
          <w:r>
            <w:fldChar w:fldCharType="separate"/>
          </w:r>
          <w:r>
            <w:rPr>
              <w:rFonts w:hint="eastAsia"/>
            </w:rPr>
            <w:t>3.1性别分布</w:t>
          </w:r>
          <w:r>
            <w:tab/>
          </w:r>
          <w:r>
            <w:fldChar w:fldCharType="end"/>
          </w:r>
        </w:p>
        <w:p>
          <w:pPr>
            <w:pStyle w:val="13"/>
            <w:tabs>
              <w:tab w:val="right" w:leader="dot" w:pos="8312"/>
            </w:tabs>
            <w:ind w:left="480"/>
          </w:pPr>
          <w:r>
            <w:fldChar w:fldCharType="begin"/>
          </w:r>
          <w:r>
            <w:instrText xml:space="preserve"> HYPERLINK \l "_Toc28127" </w:instrText>
          </w:r>
          <w:r>
            <w:fldChar w:fldCharType="separate"/>
          </w:r>
          <w:r>
            <w:rPr>
              <w:rFonts w:hint="eastAsia"/>
            </w:rPr>
            <w:t>3.2年龄分布</w:t>
          </w:r>
          <w:r>
            <w:tab/>
          </w:r>
          <w:r>
            <w:fldChar w:fldCharType="end"/>
          </w:r>
        </w:p>
        <w:p>
          <w:pPr>
            <w:pStyle w:val="13"/>
            <w:tabs>
              <w:tab w:val="right" w:leader="dot" w:pos="8312"/>
            </w:tabs>
            <w:ind w:left="480"/>
          </w:pPr>
          <w:r>
            <w:fldChar w:fldCharType="begin"/>
          </w:r>
          <w:r>
            <w:instrText xml:space="preserve"> HYPERLINK \l "_Toc23760" </w:instrText>
          </w:r>
          <w:r>
            <w:fldChar w:fldCharType="separate"/>
          </w:r>
          <w:r>
            <w:rPr>
              <w:rFonts w:hint="eastAsia"/>
            </w:rPr>
            <w:t>3.3从业时间</w:t>
          </w:r>
          <w:r>
            <w:tab/>
          </w:r>
          <w:r>
            <w:fldChar w:fldCharType="end"/>
          </w:r>
        </w:p>
        <w:p>
          <w:pPr>
            <w:pStyle w:val="13"/>
            <w:tabs>
              <w:tab w:val="right" w:leader="dot" w:pos="8312"/>
            </w:tabs>
            <w:ind w:left="480"/>
          </w:pPr>
          <w:r>
            <w:fldChar w:fldCharType="begin"/>
          </w:r>
          <w:r>
            <w:instrText xml:space="preserve"> HYPERLINK \l "_Toc23707" </w:instrText>
          </w:r>
          <w:r>
            <w:fldChar w:fldCharType="separate"/>
          </w:r>
          <w:r>
            <w:rPr>
              <w:rFonts w:hint="eastAsia"/>
            </w:rPr>
            <w:t>3.4学历分布</w:t>
          </w:r>
          <w:r>
            <w:tab/>
          </w:r>
          <w:r>
            <w:fldChar w:fldCharType="end"/>
          </w:r>
        </w:p>
        <w:p>
          <w:pPr>
            <w:pStyle w:val="13"/>
            <w:tabs>
              <w:tab w:val="right" w:leader="dot" w:pos="8312"/>
            </w:tabs>
            <w:ind w:left="480"/>
          </w:pPr>
          <w:r>
            <w:fldChar w:fldCharType="begin"/>
          </w:r>
          <w:r>
            <w:instrText xml:space="preserve"> HYPERLINK \l "_Toc1103" </w:instrText>
          </w:r>
          <w:r>
            <w:fldChar w:fldCharType="separate"/>
          </w:r>
          <w:r>
            <w:rPr>
              <w:rFonts w:hint="eastAsia"/>
            </w:rPr>
            <w:t>3.5工作单位</w:t>
          </w:r>
          <w:r>
            <w:tab/>
          </w:r>
          <w:r>
            <w:fldChar w:fldCharType="end"/>
          </w:r>
        </w:p>
        <w:p>
          <w:pPr>
            <w:pStyle w:val="11"/>
            <w:tabs>
              <w:tab w:val="right" w:leader="dot" w:pos="8312"/>
            </w:tabs>
          </w:pPr>
          <w:r>
            <w:fldChar w:fldCharType="begin"/>
          </w:r>
          <w:r>
            <w:instrText xml:space="preserve"> HYPERLINK \l "_Toc12581" </w:instrText>
          </w:r>
          <w:r>
            <w:fldChar w:fldCharType="separate"/>
          </w:r>
          <w:r>
            <w:rPr>
              <w:rFonts w:hint="eastAsia"/>
            </w:rPr>
            <w:t>四、网络安全共性问题</w:t>
          </w:r>
          <w:r>
            <w:tab/>
          </w:r>
          <w:r>
            <w:fldChar w:fldCharType="end"/>
          </w:r>
        </w:p>
        <w:p>
          <w:pPr>
            <w:pStyle w:val="13"/>
            <w:tabs>
              <w:tab w:val="right" w:leader="dot" w:pos="8312"/>
            </w:tabs>
            <w:ind w:left="480"/>
          </w:pPr>
          <w:r>
            <w:fldChar w:fldCharType="begin"/>
          </w:r>
          <w:r>
            <w:instrText xml:space="preserve"> HYPERLINK \l "_Toc13117" </w:instrText>
          </w:r>
          <w:r>
            <w:fldChar w:fldCharType="separate"/>
          </w:r>
          <w:r>
            <w:rPr>
              <w:rFonts w:hint="eastAsia"/>
            </w:rPr>
            <w:t>4.1安全感总体感受</w:t>
          </w:r>
          <w:r>
            <w:tab/>
          </w:r>
          <w:r>
            <w:fldChar w:fldCharType="end"/>
          </w:r>
        </w:p>
        <w:p>
          <w:pPr>
            <w:pStyle w:val="13"/>
            <w:tabs>
              <w:tab w:val="right" w:leader="dot" w:pos="8312"/>
            </w:tabs>
            <w:ind w:left="480"/>
          </w:pPr>
          <w:r>
            <w:fldChar w:fldCharType="begin"/>
          </w:r>
          <w:r>
            <w:instrText xml:space="preserve"> HYPERLINK \l "_Toc30170" </w:instrText>
          </w:r>
          <w:r>
            <w:fldChar w:fldCharType="separate"/>
          </w:r>
          <w:r>
            <w:rPr>
              <w:rFonts w:hint="eastAsia"/>
            </w:rPr>
            <w:t>4.2网络安全态势感受</w:t>
          </w:r>
          <w:r>
            <w:tab/>
          </w:r>
          <w:r>
            <w:fldChar w:fldCharType="end"/>
          </w:r>
        </w:p>
        <w:p>
          <w:pPr>
            <w:pStyle w:val="13"/>
            <w:tabs>
              <w:tab w:val="right" w:leader="dot" w:pos="8312"/>
            </w:tabs>
            <w:ind w:left="480"/>
          </w:pPr>
          <w:r>
            <w:fldChar w:fldCharType="begin"/>
          </w:r>
          <w:r>
            <w:instrText xml:space="preserve"> HYPERLINK \l "_Toc27460" </w:instrText>
          </w:r>
          <w:r>
            <w:fldChar w:fldCharType="separate"/>
          </w:r>
          <w:r>
            <w:rPr>
              <w:rFonts w:hint="eastAsia"/>
            </w:rPr>
            <w:t>4.3打击网络黑灰产业</w:t>
          </w:r>
          <w:r>
            <w:tab/>
          </w:r>
          <w:r>
            <w:fldChar w:fldCharType="end"/>
          </w:r>
        </w:p>
        <w:p>
          <w:pPr>
            <w:pStyle w:val="13"/>
            <w:tabs>
              <w:tab w:val="right" w:leader="dot" w:pos="8312"/>
            </w:tabs>
            <w:ind w:left="480"/>
          </w:pPr>
          <w:r>
            <w:fldChar w:fldCharType="begin"/>
          </w:r>
          <w:r>
            <w:instrText xml:space="preserve"> HYPERLINK \l "_Toc19318" </w:instrText>
          </w:r>
          <w:r>
            <w:fldChar w:fldCharType="separate"/>
          </w:r>
          <w:r>
            <w:rPr>
              <w:rFonts w:hint="eastAsia"/>
            </w:rPr>
            <w:t>4.4网络安全的治理</w:t>
          </w:r>
          <w:r>
            <w:tab/>
          </w:r>
          <w:r>
            <w:fldChar w:fldCharType="end"/>
          </w:r>
        </w:p>
        <w:p>
          <w:pPr>
            <w:pStyle w:val="11"/>
            <w:tabs>
              <w:tab w:val="right" w:leader="dot" w:pos="8312"/>
            </w:tabs>
          </w:pPr>
          <w:r>
            <w:fldChar w:fldCharType="begin"/>
          </w:r>
          <w:r>
            <w:instrText xml:space="preserve"> HYPERLINK \l "_Toc16643" </w:instrText>
          </w:r>
          <w:r>
            <w:fldChar w:fldCharType="separate"/>
          </w:r>
          <w:r>
            <w:rPr>
              <w:rFonts w:hint="eastAsia"/>
            </w:rPr>
            <w:t>五、专题分析</w:t>
          </w:r>
          <w:r>
            <w:tab/>
          </w:r>
          <w:r>
            <w:fldChar w:fldCharType="end"/>
          </w:r>
        </w:p>
        <w:p>
          <w:pPr>
            <w:pStyle w:val="13"/>
            <w:tabs>
              <w:tab w:val="right" w:leader="dot" w:pos="8312"/>
            </w:tabs>
            <w:ind w:left="480"/>
          </w:pPr>
          <w:r>
            <w:fldChar w:fldCharType="begin"/>
          </w:r>
          <w:r>
            <w:instrText xml:space="preserve"> HYPERLINK \l "_Toc22436" </w:instrText>
          </w:r>
          <w:r>
            <w:fldChar w:fldCharType="separate"/>
          </w:r>
          <w:r>
            <w:rPr>
              <w:rFonts w:hint="eastAsia"/>
            </w:rPr>
            <w:t>5.1、等级保护实施与企业合规专题</w:t>
          </w:r>
          <w:r>
            <w:tab/>
          </w:r>
          <w:r>
            <w:fldChar w:fldCharType="end"/>
          </w:r>
        </w:p>
        <w:p>
          <w:pPr>
            <w:pStyle w:val="13"/>
            <w:tabs>
              <w:tab w:val="right" w:leader="dot" w:pos="8312"/>
            </w:tabs>
            <w:ind w:left="480"/>
          </w:pPr>
          <w:r>
            <w:fldChar w:fldCharType="begin"/>
          </w:r>
          <w:r>
            <w:instrText xml:space="preserve"> HYPERLINK \l "_Toc1316" </w:instrText>
          </w:r>
          <w:r>
            <w:fldChar w:fldCharType="separate"/>
          </w:r>
          <w:r>
            <w:rPr>
              <w:rFonts w:hint="eastAsia"/>
            </w:rPr>
            <w:t>5.2、行业发展与生态建设专题</w:t>
          </w:r>
          <w:r>
            <w:tab/>
          </w:r>
          <w:r>
            <w:fldChar w:fldCharType="end"/>
          </w:r>
        </w:p>
        <w:p>
          <w:pPr>
            <w:pStyle w:val="13"/>
            <w:tabs>
              <w:tab w:val="right" w:leader="dot" w:pos="8312"/>
            </w:tabs>
            <w:ind w:left="480"/>
          </w:pPr>
          <w:r>
            <w:fldChar w:fldCharType="begin"/>
          </w:r>
          <w:r>
            <w:instrText xml:space="preserve"> HYPERLINK \l "_Toc2566" </w:instrText>
          </w:r>
          <w:r>
            <w:fldChar w:fldCharType="separate"/>
          </w:r>
          <w:r>
            <w:rPr>
              <w:rFonts w:hint="eastAsia"/>
            </w:rPr>
            <w:t>5.3、新技术应用与网络安全专题</w:t>
          </w:r>
          <w:r>
            <w:tab/>
          </w:r>
          <w:r>
            <w:fldChar w:fldCharType="end"/>
          </w:r>
        </w:p>
        <w:p>
          <w:pPr>
            <w:pStyle w:val="13"/>
            <w:tabs>
              <w:tab w:val="right" w:leader="dot" w:pos="8312"/>
            </w:tabs>
            <w:ind w:left="480"/>
          </w:pPr>
          <w:r>
            <w:fldChar w:fldCharType="begin"/>
          </w:r>
          <w:r>
            <w:instrText xml:space="preserve"> HYPERLINK \l "_Toc20789" </w:instrText>
          </w:r>
          <w:r>
            <w:fldChar w:fldCharType="separate"/>
          </w:r>
          <w:r>
            <w:rPr>
              <w:rFonts w:hint="eastAsia"/>
            </w:rPr>
            <w:t>5.4、科技创新与人才培养专题</w:t>
          </w:r>
          <w:r>
            <w:tab/>
          </w:r>
          <w:r>
            <w:fldChar w:fldCharType="end"/>
          </w:r>
        </w:p>
        <w:p>
          <w:pPr>
            <w:pStyle w:val="11"/>
            <w:tabs>
              <w:tab w:val="right" w:leader="dot" w:pos="8312"/>
            </w:tabs>
          </w:pPr>
          <w:r>
            <w:fldChar w:fldCharType="begin"/>
          </w:r>
          <w:r>
            <w:instrText xml:space="preserve"> HYPERLINK \l "_Toc5168" </w:instrText>
          </w:r>
          <w:r>
            <w:fldChar w:fldCharType="separate"/>
          </w:r>
          <w:r>
            <w:rPr>
              <w:rFonts w:hint="eastAsia"/>
            </w:rPr>
            <w:t>附件一：调查方法与数据样本情况</w:t>
          </w:r>
          <w:r>
            <w:tab/>
          </w:r>
          <w:r>
            <w:fldChar w:fldCharType="end"/>
          </w:r>
        </w:p>
        <w:p>
          <w:pPr>
            <w:pStyle w:val="11"/>
            <w:tabs>
              <w:tab w:val="right" w:leader="dot" w:pos="8312"/>
            </w:tabs>
          </w:pPr>
          <w:r>
            <w:fldChar w:fldCharType="begin"/>
          </w:r>
          <w:r>
            <w:instrText xml:space="preserve"> HYPERLINK \l "_Toc18255" </w:instrText>
          </w:r>
          <w:r>
            <w:fldChar w:fldCharType="separate"/>
          </w:r>
          <w:r>
            <w:rPr>
              <w:rFonts w:hint="eastAsia" w:eastAsia="宋体" w:cstheme="minorHAnsi"/>
              <w:szCs w:val="32"/>
            </w:rPr>
            <w:t>附件二：调查报告致谢词</w:t>
          </w:r>
          <w:r>
            <w:tab/>
          </w:r>
          <w:r>
            <w:fldChar w:fldCharType="end"/>
          </w:r>
        </w:p>
        <w:p>
          <w:pPr>
            <w:pStyle w:val="11"/>
            <w:tabs>
              <w:tab w:val="right" w:leader="dot" w:pos="8312"/>
            </w:tabs>
          </w:pPr>
          <w:r>
            <w:fldChar w:fldCharType="begin"/>
          </w:r>
          <w:r>
            <w:instrText xml:space="preserve"> HYPERLINK \l "_Toc10942" </w:instrText>
          </w:r>
          <w:r>
            <w:fldChar w:fldCharType="separate"/>
          </w:r>
          <w:r>
            <w:rPr>
              <w:rFonts w:hint="eastAsia" w:ascii="宋体" w:hAnsi="宋体" w:eastAsia="宋体"/>
              <w:szCs w:val="32"/>
            </w:rPr>
            <w:t>附件三：调查活动指导单位、联合发起单位和组委会名单</w:t>
          </w:r>
          <w:r>
            <w:tab/>
          </w:r>
          <w:r>
            <w:fldChar w:fldCharType="end"/>
          </w:r>
        </w:p>
        <w:p>
          <w:pPr>
            <w:pStyle w:val="11"/>
            <w:tabs>
              <w:tab w:val="right" w:leader="dot" w:pos="8312"/>
            </w:tabs>
          </w:pPr>
          <w:r>
            <w:fldChar w:fldCharType="begin"/>
          </w:r>
          <w:r>
            <w:instrText xml:space="preserve"> HYPERLINK \l "_Toc16190" </w:instrText>
          </w:r>
          <w:r>
            <w:fldChar w:fldCharType="separate"/>
          </w:r>
          <w:r>
            <w:rPr>
              <w:rFonts w:hint="eastAsia" w:ascii="宋体" w:hAnsi="宋体" w:eastAsia="宋体"/>
              <w:szCs w:val="32"/>
            </w:rPr>
            <w:t>附件四：调查活动发起单位及支持单位名单（排名不分先后）</w:t>
          </w:r>
          <w:r>
            <w:tab/>
          </w:r>
          <w:r>
            <w:fldChar w:fldCharType="end"/>
          </w:r>
        </w:p>
        <w:p>
          <w:pPr>
            <w:pStyle w:val="11"/>
            <w:jc w:val="center"/>
            <w:rPr>
              <w:rFonts w:ascii="黑体" w:hAnsi="黑体" w:eastAsia="黑体"/>
              <w:b/>
              <w:bCs/>
              <w:kern w:val="44"/>
              <w:sz w:val="28"/>
              <w:szCs w:val="28"/>
            </w:rPr>
          </w:pPr>
          <w:r>
            <w:fldChar w:fldCharType="end"/>
          </w:r>
        </w:p>
      </w:sdtContent>
    </w:sdt>
    <w:p>
      <w:pPr>
        <w:ind w:firstLine="562"/>
        <w:rPr>
          <w:rFonts w:ascii="黑体" w:hAnsi="黑体" w:eastAsia="黑体"/>
          <w:b/>
          <w:bCs/>
          <w:kern w:val="44"/>
          <w:sz w:val="28"/>
          <w:szCs w:val="28"/>
        </w:rPr>
      </w:pPr>
      <w:r>
        <w:rPr>
          <w:rFonts w:hint="eastAsia" w:ascii="黑体" w:hAnsi="黑体" w:eastAsia="黑体"/>
          <w:b/>
          <w:bCs/>
          <w:kern w:val="44"/>
          <w:sz w:val="28"/>
          <w:szCs w:val="28"/>
        </w:rPr>
        <w:br w:type="page"/>
      </w:r>
    </w:p>
    <w:p>
      <w:pPr>
        <w:pStyle w:val="12"/>
        <w:tabs>
          <w:tab w:val="right" w:leader="dot" w:pos="8296"/>
        </w:tabs>
        <w:ind w:left="1042" w:hanging="562"/>
        <w:jc w:val="center"/>
        <w:rPr>
          <w:rFonts w:ascii="黑体" w:hAnsi="黑体" w:eastAsia="黑体"/>
          <w:b/>
          <w:bCs/>
          <w:kern w:val="44"/>
          <w:sz w:val="28"/>
          <w:szCs w:val="28"/>
        </w:rPr>
      </w:pPr>
      <w:r>
        <w:rPr>
          <w:rFonts w:hint="eastAsia" w:ascii="黑体" w:hAnsi="黑体" w:eastAsia="黑体"/>
          <w:b/>
          <w:bCs/>
          <w:kern w:val="44"/>
          <w:sz w:val="28"/>
          <w:szCs w:val="28"/>
        </w:rPr>
        <w:t>图表目录</w:t>
      </w:r>
    </w:p>
    <w:p>
      <w:pPr>
        <w:pStyle w:val="12"/>
        <w:tabs>
          <w:tab w:val="right" w:leader="dot" w:pos="8312"/>
        </w:tabs>
        <w:ind w:left="960" w:hanging="480"/>
      </w:pPr>
      <w:bookmarkStart w:id="30" w:name="_Toc19207398"/>
      <w:r>
        <w:fldChar w:fldCharType="begin"/>
      </w:r>
      <w:r>
        <w:instrText xml:space="preserve">TOC \h \c "图表"</w:instrText>
      </w:r>
      <w:r>
        <w:fldChar w:fldCharType="separate"/>
      </w:r>
      <w:r>
        <w:fldChar w:fldCharType="begin"/>
      </w:r>
      <w:r>
        <w:instrText xml:space="preserve"> HYPERLINK \l "_Toc30646" </w:instrText>
      </w:r>
      <w:r>
        <w:fldChar w:fldCharType="separate"/>
      </w:r>
      <w:r>
        <w:rPr>
          <w:rFonts w:hint="eastAsia"/>
        </w:rPr>
        <w:t>图表</w:t>
      </w:r>
      <w:r>
        <w:t xml:space="preserve">1 </w:t>
      </w:r>
      <w:r>
        <w:rPr>
          <w:rFonts w:hint="eastAsia"/>
        </w:rPr>
        <w:t>：从业人员网民性别分布图</w:t>
      </w:r>
      <w:r>
        <w:tab/>
      </w:r>
      <w:r>
        <w:fldChar w:fldCharType="end"/>
      </w:r>
    </w:p>
    <w:p>
      <w:pPr>
        <w:pStyle w:val="12"/>
        <w:tabs>
          <w:tab w:val="right" w:leader="dot" w:pos="8312"/>
        </w:tabs>
        <w:ind w:left="960" w:hanging="480"/>
      </w:pPr>
      <w:r>
        <w:fldChar w:fldCharType="begin"/>
      </w:r>
      <w:r>
        <w:instrText xml:space="preserve"> HYPERLINK \l "_Toc30808" </w:instrText>
      </w:r>
      <w:r>
        <w:fldChar w:fldCharType="separate"/>
      </w:r>
      <w:r>
        <w:rPr>
          <w:rFonts w:hint="eastAsia"/>
        </w:rPr>
        <w:t>图表</w:t>
      </w:r>
      <w:r>
        <w:t xml:space="preserve">2 </w:t>
      </w:r>
      <w:r>
        <w:rPr>
          <w:rFonts w:hint="eastAsia"/>
        </w:rPr>
        <w:t>：从业人员网民年龄分布图</w:t>
      </w:r>
      <w:r>
        <w:tab/>
      </w:r>
      <w:r>
        <w:fldChar w:fldCharType="end"/>
      </w:r>
    </w:p>
    <w:p>
      <w:pPr>
        <w:pStyle w:val="12"/>
        <w:tabs>
          <w:tab w:val="right" w:leader="dot" w:pos="8312"/>
        </w:tabs>
        <w:ind w:left="960" w:hanging="480"/>
      </w:pPr>
      <w:r>
        <w:fldChar w:fldCharType="begin"/>
      </w:r>
      <w:r>
        <w:instrText xml:space="preserve"> HYPERLINK \l "_Toc6286" </w:instrText>
      </w:r>
      <w:r>
        <w:fldChar w:fldCharType="separate"/>
      </w:r>
      <w:r>
        <w:rPr>
          <w:rFonts w:hint="eastAsia" w:ascii="Calibri" w:hAnsi="Calibri" w:cstheme="majorBidi"/>
          <w:szCs w:val="20"/>
        </w:rPr>
        <w:t>图表</w:t>
      </w:r>
      <w:r>
        <w:t xml:space="preserve">3 </w:t>
      </w:r>
      <w:r>
        <w:rPr>
          <w:rFonts w:hint="eastAsia" w:ascii="Calibri" w:hAnsi="Calibri" w:cstheme="majorBidi"/>
          <w:szCs w:val="20"/>
        </w:rPr>
        <w:t>：从业人员从业时间分布图</w:t>
      </w:r>
      <w:r>
        <w:tab/>
      </w:r>
      <w:r>
        <w:fldChar w:fldCharType="end"/>
      </w:r>
    </w:p>
    <w:p>
      <w:pPr>
        <w:pStyle w:val="12"/>
        <w:tabs>
          <w:tab w:val="right" w:leader="dot" w:pos="8312"/>
        </w:tabs>
        <w:ind w:left="960" w:hanging="480"/>
      </w:pPr>
      <w:r>
        <w:fldChar w:fldCharType="begin"/>
      </w:r>
      <w:r>
        <w:instrText xml:space="preserve"> HYPERLINK \l "_Toc3471" </w:instrText>
      </w:r>
      <w:r>
        <w:fldChar w:fldCharType="separate"/>
      </w:r>
      <w:r>
        <w:rPr>
          <w:rFonts w:hint="eastAsia" w:ascii="Calibri" w:hAnsi="Calibri" w:cstheme="majorBidi"/>
          <w:szCs w:val="20"/>
        </w:rPr>
        <w:t>图表</w:t>
      </w:r>
      <w:r>
        <w:t xml:space="preserve">4 </w:t>
      </w:r>
      <w:r>
        <w:rPr>
          <w:rFonts w:hint="eastAsia" w:ascii="Calibri" w:hAnsi="Calibri" w:cstheme="majorBidi"/>
          <w:szCs w:val="20"/>
        </w:rPr>
        <w:t>：从业人员学历分布图</w:t>
      </w:r>
      <w:r>
        <w:tab/>
      </w:r>
      <w:r>
        <w:fldChar w:fldCharType="end"/>
      </w:r>
    </w:p>
    <w:p>
      <w:pPr>
        <w:pStyle w:val="12"/>
        <w:tabs>
          <w:tab w:val="right" w:leader="dot" w:pos="8312"/>
        </w:tabs>
        <w:ind w:left="960" w:hanging="480"/>
      </w:pPr>
      <w:r>
        <w:fldChar w:fldCharType="begin"/>
      </w:r>
      <w:r>
        <w:instrText xml:space="preserve"> HYPERLINK \l "_Toc7929" </w:instrText>
      </w:r>
      <w:r>
        <w:fldChar w:fldCharType="separate"/>
      </w:r>
      <w:r>
        <w:rPr>
          <w:rFonts w:hint="eastAsia"/>
        </w:rPr>
        <w:t>图表</w:t>
      </w:r>
      <w:r>
        <w:t xml:space="preserve">5 </w:t>
      </w:r>
      <w:r>
        <w:rPr>
          <w:rFonts w:hint="eastAsia"/>
        </w:rPr>
        <w:t>：重庆市从业人员工作单位分布图</w:t>
      </w:r>
      <w:r>
        <w:tab/>
      </w:r>
      <w:r>
        <w:fldChar w:fldCharType="end"/>
      </w:r>
    </w:p>
    <w:p>
      <w:pPr>
        <w:pStyle w:val="12"/>
        <w:tabs>
          <w:tab w:val="right" w:leader="dot" w:pos="8312"/>
        </w:tabs>
        <w:ind w:left="960" w:hanging="480"/>
      </w:pPr>
      <w:r>
        <w:fldChar w:fldCharType="begin"/>
      </w:r>
      <w:r>
        <w:instrText xml:space="preserve"> HYPERLINK \l "_Toc8121" </w:instrText>
      </w:r>
      <w:r>
        <w:fldChar w:fldCharType="separate"/>
      </w:r>
      <w:r>
        <w:rPr>
          <w:rFonts w:hint="eastAsia"/>
        </w:rPr>
        <w:t xml:space="preserve">图表 </w:t>
      </w:r>
      <w:r>
        <w:t xml:space="preserve">6 </w:t>
      </w:r>
      <w:r>
        <w:rPr>
          <w:rFonts w:hint="eastAsia"/>
        </w:rPr>
        <w:t>：从业人员网民安全感评价分布图</w:t>
      </w:r>
      <w:r>
        <w:tab/>
      </w:r>
      <w:r>
        <w:fldChar w:fldCharType="end"/>
      </w:r>
    </w:p>
    <w:p>
      <w:pPr>
        <w:pStyle w:val="12"/>
        <w:tabs>
          <w:tab w:val="right" w:leader="dot" w:pos="8312"/>
        </w:tabs>
        <w:ind w:left="960" w:hanging="480"/>
      </w:pPr>
      <w:r>
        <w:fldChar w:fldCharType="begin"/>
      </w:r>
      <w:r>
        <w:instrText xml:space="preserve"> HYPERLINK \l "_Toc23307" </w:instrText>
      </w:r>
      <w:r>
        <w:fldChar w:fldCharType="separate"/>
      </w:r>
      <w:r>
        <w:rPr>
          <w:rFonts w:hint="eastAsia"/>
        </w:rPr>
        <w:t xml:space="preserve">图表 </w:t>
      </w:r>
      <w:r>
        <w:t xml:space="preserve">7 </w:t>
      </w:r>
      <w:r>
        <w:rPr>
          <w:rFonts w:hint="eastAsia"/>
        </w:rPr>
        <w:t>：2020年从业人员和公众网民网络安全感评价比较</w:t>
      </w:r>
      <w:r>
        <w:tab/>
      </w:r>
      <w:r>
        <w:fldChar w:fldCharType="end"/>
      </w:r>
    </w:p>
    <w:p>
      <w:pPr>
        <w:pStyle w:val="12"/>
        <w:tabs>
          <w:tab w:val="right" w:leader="dot" w:pos="8312"/>
        </w:tabs>
        <w:ind w:left="960" w:hanging="480"/>
      </w:pPr>
      <w:r>
        <w:fldChar w:fldCharType="begin"/>
      </w:r>
      <w:r>
        <w:instrText xml:space="preserve"> HYPERLINK \l "_Toc32430" </w:instrText>
      </w:r>
      <w:r>
        <w:fldChar w:fldCharType="separate"/>
      </w:r>
      <w:r>
        <w:rPr>
          <w:rFonts w:hint="eastAsia"/>
        </w:rPr>
        <w:t xml:space="preserve">图表 </w:t>
      </w:r>
      <w:r>
        <w:t xml:space="preserve">8 </w:t>
      </w:r>
      <w:r>
        <w:rPr>
          <w:rFonts w:hint="eastAsia"/>
        </w:rPr>
        <w:t>：网民对安全感变化的评价</w:t>
      </w:r>
      <w:r>
        <w:tab/>
      </w:r>
      <w:r>
        <w:fldChar w:fldCharType="end"/>
      </w:r>
    </w:p>
    <w:p>
      <w:pPr>
        <w:pStyle w:val="12"/>
        <w:tabs>
          <w:tab w:val="right" w:leader="dot" w:pos="8312"/>
        </w:tabs>
        <w:ind w:left="960" w:hanging="480"/>
      </w:pPr>
      <w:r>
        <w:fldChar w:fldCharType="begin"/>
      </w:r>
      <w:r>
        <w:instrText xml:space="preserve"> HYPERLINK \l "_Toc4990" </w:instrText>
      </w:r>
      <w:r>
        <w:fldChar w:fldCharType="separate"/>
      </w:r>
      <w:r>
        <w:t xml:space="preserve">图表 9 </w:t>
      </w:r>
      <w:r>
        <w:rPr>
          <w:rFonts w:hint="eastAsia"/>
        </w:rPr>
        <w:t>：从业人员-公众网民对安全感变化的评价比较</w:t>
      </w:r>
      <w:r>
        <w:tab/>
      </w:r>
      <w:r>
        <w:fldChar w:fldCharType="end"/>
      </w:r>
    </w:p>
    <w:p>
      <w:pPr>
        <w:pStyle w:val="12"/>
        <w:tabs>
          <w:tab w:val="right" w:leader="dot" w:pos="8312"/>
        </w:tabs>
        <w:ind w:left="960" w:hanging="480"/>
      </w:pPr>
      <w:r>
        <w:fldChar w:fldCharType="begin"/>
      </w:r>
      <w:r>
        <w:instrText xml:space="preserve"> HYPERLINK \l "_Toc24589" </w:instrText>
      </w:r>
      <w:r>
        <w:fldChar w:fldCharType="separate"/>
      </w:r>
      <w:r>
        <w:rPr>
          <w:rFonts w:hint="eastAsia"/>
        </w:rPr>
        <w:t xml:space="preserve">图表 </w:t>
      </w:r>
      <w:r>
        <w:t xml:space="preserve">10 </w:t>
      </w:r>
      <w:r>
        <w:rPr>
          <w:rFonts w:hint="eastAsia"/>
        </w:rPr>
        <w:t>：在工作中最常面对的网络安全威胁遇到率图</w:t>
      </w:r>
      <w:r>
        <w:tab/>
      </w:r>
      <w:r>
        <w:fldChar w:fldCharType="end"/>
      </w:r>
    </w:p>
    <w:p>
      <w:pPr>
        <w:pStyle w:val="12"/>
        <w:tabs>
          <w:tab w:val="right" w:leader="dot" w:pos="8312"/>
        </w:tabs>
        <w:ind w:left="960" w:hanging="480"/>
      </w:pPr>
      <w:r>
        <w:fldChar w:fldCharType="begin"/>
      </w:r>
      <w:r>
        <w:instrText xml:space="preserve"> HYPERLINK \l "_Toc11521" </w:instrText>
      </w:r>
      <w:r>
        <w:fldChar w:fldCharType="separate"/>
      </w:r>
      <w:r>
        <w:rPr>
          <w:rFonts w:hint="eastAsia"/>
        </w:rPr>
        <w:t xml:space="preserve">图表 </w:t>
      </w:r>
      <w:r>
        <w:t xml:space="preserve">11 </w:t>
      </w:r>
      <w:r>
        <w:rPr>
          <w:rFonts w:hint="eastAsia"/>
        </w:rPr>
        <w:t>：网民遇到的违法有害信息</w:t>
      </w:r>
      <w:r>
        <w:tab/>
      </w:r>
      <w:r>
        <w:fldChar w:fldCharType="end"/>
      </w:r>
    </w:p>
    <w:p>
      <w:pPr>
        <w:pStyle w:val="12"/>
        <w:tabs>
          <w:tab w:val="right" w:leader="dot" w:pos="8312"/>
        </w:tabs>
        <w:ind w:left="960" w:hanging="480"/>
      </w:pPr>
      <w:r>
        <w:fldChar w:fldCharType="begin"/>
      </w:r>
      <w:r>
        <w:instrText xml:space="preserve"> HYPERLINK \l "_Toc24879" </w:instrText>
      </w:r>
      <w:r>
        <w:fldChar w:fldCharType="separate"/>
      </w:r>
      <w:r>
        <w:rPr>
          <w:rFonts w:hint="eastAsia"/>
        </w:rPr>
        <w:t xml:space="preserve">图表 </w:t>
      </w:r>
      <w:r>
        <w:t xml:space="preserve">12 </w:t>
      </w:r>
      <w:r>
        <w:rPr>
          <w:rFonts w:hint="eastAsia"/>
        </w:rPr>
        <w:t>：互联网黑灰产业活跃情况评价</w:t>
      </w:r>
      <w:r>
        <w:tab/>
      </w:r>
      <w:r>
        <w:fldChar w:fldCharType="end"/>
      </w:r>
    </w:p>
    <w:p>
      <w:pPr>
        <w:pStyle w:val="12"/>
        <w:tabs>
          <w:tab w:val="right" w:leader="dot" w:pos="8312"/>
        </w:tabs>
        <w:ind w:left="960" w:hanging="480"/>
      </w:pPr>
      <w:r>
        <w:fldChar w:fldCharType="begin"/>
      </w:r>
      <w:r>
        <w:instrText xml:space="preserve"> HYPERLINK \l "_Toc23506" </w:instrText>
      </w:r>
      <w:r>
        <w:fldChar w:fldCharType="separate"/>
      </w:r>
      <w:r>
        <w:rPr>
          <w:rFonts w:hint="eastAsia"/>
        </w:rPr>
        <w:t xml:space="preserve">图表 </w:t>
      </w:r>
      <w:r>
        <w:t xml:space="preserve">13 </w:t>
      </w:r>
      <w:r>
        <w:rPr>
          <w:rFonts w:hint="eastAsia"/>
        </w:rPr>
        <w:t>：常见网络黑灰产业犯罪手法</w:t>
      </w:r>
      <w:r>
        <w:tab/>
      </w:r>
      <w:r>
        <w:fldChar w:fldCharType="end"/>
      </w:r>
    </w:p>
    <w:p>
      <w:pPr>
        <w:pStyle w:val="12"/>
        <w:tabs>
          <w:tab w:val="right" w:leader="dot" w:pos="8312"/>
        </w:tabs>
        <w:ind w:left="960" w:hanging="480"/>
      </w:pPr>
      <w:r>
        <w:fldChar w:fldCharType="begin"/>
      </w:r>
      <w:r>
        <w:instrText xml:space="preserve"> HYPERLINK \l "_Toc25945" </w:instrText>
      </w:r>
      <w:r>
        <w:fldChar w:fldCharType="separate"/>
      </w:r>
      <w:r>
        <w:rPr>
          <w:rFonts w:hint="eastAsia"/>
        </w:rPr>
        <w:t xml:space="preserve">图表 </w:t>
      </w:r>
      <w:r>
        <w:t xml:space="preserve">14 </w:t>
      </w:r>
      <w:r>
        <w:rPr>
          <w:rFonts w:hint="eastAsia"/>
        </w:rPr>
        <w:t>：刷流量网络水军现象屡禁不绝的原因</w:t>
      </w:r>
      <w:r>
        <w:tab/>
      </w:r>
      <w:r>
        <w:fldChar w:fldCharType="end"/>
      </w:r>
    </w:p>
    <w:p>
      <w:pPr>
        <w:pStyle w:val="12"/>
        <w:tabs>
          <w:tab w:val="right" w:leader="dot" w:pos="8312"/>
        </w:tabs>
        <w:ind w:left="960" w:hanging="480"/>
      </w:pPr>
      <w:r>
        <w:fldChar w:fldCharType="begin"/>
      </w:r>
      <w:r>
        <w:instrText xml:space="preserve"> HYPERLINK \l "_Toc5007" </w:instrText>
      </w:r>
      <w:r>
        <w:fldChar w:fldCharType="separate"/>
      </w:r>
      <w:r>
        <w:rPr>
          <w:rFonts w:hint="eastAsia"/>
        </w:rPr>
        <w:t xml:space="preserve">图表 </w:t>
      </w:r>
      <w:r>
        <w:t xml:space="preserve">15 </w:t>
      </w:r>
      <w:r>
        <w:rPr>
          <w:rFonts w:hint="eastAsia"/>
        </w:rPr>
        <w:t>：整治网络黑灰产业关键手段评价</w:t>
      </w:r>
      <w:r>
        <w:tab/>
      </w:r>
      <w:r>
        <w:fldChar w:fldCharType="end"/>
      </w:r>
    </w:p>
    <w:p>
      <w:pPr>
        <w:pStyle w:val="12"/>
        <w:tabs>
          <w:tab w:val="right" w:leader="dot" w:pos="8312"/>
        </w:tabs>
        <w:ind w:left="960" w:hanging="480"/>
      </w:pPr>
      <w:r>
        <w:fldChar w:fldCharType="begin"/>
      </w:r>
      <w:r>
        <w:instrText xml:space="preserve"> HYPERLINK \l "_Toc9270" </w:instrText>
      </w:r>
      <w:r>
        <w:fldChar w:fldCharType="separate"/>
      </w:r>
      <w:r>
        <w:rPr>
          <w:rFonts w:hint="eastAsia"/>
        </w:rPr>
        <w:t xml:space="preserve">图表 </w:t>
      </w:r>
      <w:r>
        <w:t xml:space="preserve">16 </w:t>
      </w:r>
      <w:r>
        <w:rPr>
          <w:rFonts w:hint="eastAsia"/>
        </w:rPr>
        <w:t>：网络安全最突出或亟需治理的问题</w:t>
      </w:r>
      <w:r>
        <w:tab/>
      </w:r>
      <w:r>
        <w:fldChar w:fldCharType="end"/>
      </w:r>
    </w:p>
    <w:p>
      <w:pPr>
        <w:pStyle w:val="12"/>
        <w:tabs>
          <w:tab w:val="right" w:leader="dot" w:pos="8312"/>
        </w:tabs>
        <w:ind w:left="960" w:hanging="480"/>
      </w:pPr>
      <w:r>
        <w:fldChar w:fldCharType="begin"/>
      </w:r>
      <w:r>
        <w:instrText xml:space="preserve"> HYPERLINK \l "_Toc10570" </w:instrText>
      </w:r>
      <w:r>
        <w:fldChar w:fldCharType="separate"/>
      </w:r>
      <w:r>
        <w:rPr>
          <w:rFonts w:hint="eastAsia"/>
        </w:rPr>
        <w:t xml:space="preserve">图表 </w:t>
      </w:r>
      <w:r>
        <w:t xml:space="preserve">17 </w:t>
      </w:r>
      <w:r>
        <w:rPr>
          <w:rFonts w:hint="eastAsia"/>
        </w:rPr>
        <w:t>：维护网络安全最需要采取的措施</w:t>
      </w:r>
      <w:r>
        <w:tab/>
      </w:r>
      <w:r>
        <w:fldChar w:fldCharType="end"/>
      </w:r>
    </w:p>
    <w:p>
      <w:pPr>
        <w:pStyle w:val="12"/>
        <w:tabs>
          <w:tab w:val="right" w:leader="dot" w:pos="8312"/>
        </w:tabs>
        <w:ind w:left="960" w:hanging="480"/>
      </w:pPr>
      <w:r>
        <w:fldChar w:fldCharType="begin"/>
      </w:r>
      <w:r>
        <w:instrText xml:space="preserve"> HYPERLINK \l "_Toc31876" </w:instrText>
      </w:r>
      <w:r>
        <w:fldChar w:fldCharType="separate"/>
      </w:r>
      <w:r>
        <w:rPr>
          <w:rFonts w:hint="eastAsia"/>
        </w:rPr>
        <w:t xml:space="preserve">图表 </w:t>
      </w:r>
      <w:r>
        <w:t xml:space="preserve">18 </w:t>
      </w:r>
      <w:r>
        <w:rPr>
          <w:rFonts w:hint="eastAsia"/>
        </w:rPr>
        <w:t>：亟待加强的网络安全立法内容</w:t>
      </w:r>
      <w:r>
        <w:tab/>
      </w:r>
      <w:r>
        <w:fldChar w:fldCharType="end"/>
      </w:r>
    </w:p>
    <w:p>
      <w:pPr>
        <w:pStyle w:val="12"/>
        <w:tabs>
          <w:tab w:val="right" w:leader="dot" w:pos="8312"/>
        </w:tabs>
        <w:ind w:left="960" w:hanging="480"/>
      </w:pPr>
      <w:r>
        <w:fldChar w:fldCharType="begin"/>
      </w:r>
      <w:r>
        <w:instrText xml:space="preserve"> HYPERLINK \l "_Toc23515" </w:instrText>
      </w:r>
      <w:r>
        <w:fldChar w:fldCharType="separate"/>
      </w:r>
      <w:r>
        <w:rPr>
          <w:rFonts w:hint="eastAsia"/>
        </w:rPr>
        <w:t xml:space="preserve">图表 </w:t>
      </w:r>
      <w:r>
        <w:t xml:space="preserve">19 </w:t>
      </w:r>
      <w:r>
        <w:rPr>
          <w:rFonts w:hint="eastAsia"/>
        </w:rPr>
        <w:t>：网络安全相关管理部门的认知度</w:t>
      </w:r>
      <w:r>
        <w:tab/>
      </w:r>
      <w:r>
        <w:fldChar w:fldCharType="end"/>
      </w:r>
    </w:p>
    <w:p>
      <w:pPr>
        <w:pStyle w:val="12"/>
        <w:tabs>
          <w:tab w:val="right" w:leader="dot" w:pos="8312"/>
        </w:tabs>
        <w:ind w:left="960" w:hanging="480"/>
      </w:pPr>
      <w:r>
        <w:fldChar w:fldCharType="begin"/>
      </w:r>
      <w:r>
        <w:instrText xml:space="preserve"> HYPERLINK \l "_Toc24333" </w:instrText>
      </w:r>
      <w:r>
        <w:fldChar w:fldCharType="separate"/>
      </w:r>
      <w:r>
        <w:rPr>
          <w:rFonts w:hint="eastAsia"/>
        </w:rPr>
        <w:t xml:space="preserve">图表 </w:t>
      </w:r>
      <w:r>
        <w:t xml:space="preserve">20 </w:t>
      </w:r>
      <w:r>
        <w:rPr>
          <w:rFonts w:hint="eastAsia"/>
        </w:rPr>
        <w:t>：政府部门对网络安全的监管力度评价</w:t>
      </w:r>
      <w:r>
        <w:tab/>
      </w:r>
      <w:r>
        <w:fldChar w:fldCharType="end"/>
      </w:r>
    </w:p>
    <w:p>
      <w:pPr>
        <w:pStyle w:val="12"/>
        <w:tabs>
          <w:tab w:val="right" w:leader="dot" w:pos="8312"/>
        </w:tabs>
        <w:ind w:left="960" w:hanging="480"/>
      </w:pPr>
      <w:r>
        <w:fldChar w:fldCharType="begin"/>
      </w:r>
      <w:r>
        <w:instrText xml:space="preserve"> HYPERLINK \l "_Toc13946" </w:instrText>
      </w:r>
      <w:r>
        <w:fldChar w:fldCharType="separate"/>
      </w:r>
      <w:r>
        <w:rPr>
          <w:rFonts w:hint="eastAsia"/>
        </w:rPr>
        <w:t xml:space="preserve">图表 </w:t>
      </w:r>
      <w:r>
        <w:t xml:space="preserve">21 </w:t>
      </w:r>
      <w:r>
        <w:rPr>
          <w:rFonts w:hint="eastAsia"/>
        </w:rPr>
        <w:t>：从业人员所在行业分布占比</w:t>
      </w:r>
      <w:r>
        <w:tab/>
      </w:r>
      <w:r>
        <w:fldChar w:fldCharType="end"/>
      </w:r>
    </w:p>
    <w:p>
      <w:pPr>
        <w:pStyle w:val="12"/>
        <w:tabs>
          <w:tab w:val="right" w:leader="dot" w:pos="8312"/>
        </w:tabs>
        <w:ind w:left="960" w:hanging="480"/>
      </w:pPr>
      <w:r>
        <w:fldChar w:fldCharType="begin"/>
      </w:r>
      <w:r>
        <w:instrText xml:space="preserve"> HYPERLINK \l "_Toc26073" </w:instrText>
      </w:r>
      <w:r>
        <w:fldChar w:fldCharType="separate"/>
      </w:r>
      <w:r>
        <w:rPr>
          <w:rFonts w:hint="eastAsia"/>
        </w:rPr>
        <w:t xml:space="preserve">图表 </w:t>
      </w:r>
      <w:r>
        <w:t xml:space="preserve">22 </w:t>
      </w:r>
      <w:r>
        <w:rPr>
          <w:rFonts w:hint="eastAsia"/>
        </w:rPr>
        <w:t>：所在行业对等级保护工作指导现状</w:t>
      </w:r>
      <w:r>
        <w:tab/>
      </w:r>
      <w:r>
        <w:fldChar w:fldCharType="end"/>
      </w:r>
    </w:p>
    <w:p>
      <w:pPr>
        <w:pStyle w:val="12"/>
        <w:tabs>
          <w:tab w:val="right" w:leader="dot" w:pos="8312"/>
        </w:tabs>
        <w:ind w:left="960" w:hanging="480"/>
      </w:pPr>
      <w:r>
        <w:fldChar w:fldCharType="begin"/>
      </w:r>
      <w:r>
        <w:instrText xml:space="preserve"> HYPERLINK \l "_Toc397" </w:instrText>
      </w:r>
      <w:r>
        <w:fldChar w:fldCharType="separate"/>
      </w:r>
      <w:r>
        <w:rPr>
          <w:rFonts w:hint="eastAsia"/>
        </w:rPr>
        <w:t xml:space="preserve">图表 </w:t>
      </w:r>
      <w:r>
        <w:t xml:space="preserve">23 </w:t>
      </w:r>
      <w:r>
        <w:rPr>
          <w:rFonts w:hint="eastAsia"/>
        </w:rPr>
        <w:t>：网络安全对单位重要性认识</w:t>
      </w:r>
      <w:r>
        <w:tab/>
      </w:r>
      <w:r>
        <w:fldChar w:fldCharType="end"/>
      </w:r>
    </w:p>
    <w:p>
      <w:pPr>
        <w:pStyle w:val="12"/>
        <w:tabs>
          <w:tab w:val="right" w:leader="dot" w:pos="8312"/>
        </w:tabs>
        <w:ind w:left="960" w:hanging="480"/>
      </w:pPr>
      <w:r>
        <w:fldChar w:fldCharType="begin"/>
      </w:r>
      <w:r>
        <w:instrText xml:space="preserve"> HYPERLINK \l "_Toc27554" </w:instrText>
      </w:r>
      <w:r>
        <w:fldChar w:fldCharType="separate"/>
      </w:r>
      <w:r>
        <w:rPr>
          <w:rFonts w:hint="eastAsia"/>
        </w:rPr>
        <w:t xml:space="preserve">图表 </w:t>
      </w:r>
      <w:r>
        <w:t xml:space="preserve">24 </w:t>
      </w:r>
      <w:r>
        <w:rPr>
          <w:rFonts w:hint="eastAsia"/>
        </w:rPr>
        <w:t>：所在单位网络安全状况的了解</w:t>
      </w:r>
      <w:r>
        <w:tab/>
      </w:r>
      <w:r>
        <w:fldChar w:fldCharType="end"/>
      </w:r>
    </w:p>
    <w:p>
      <w:pPr>
        <w:pStyle w:val="12"/>
        <w:tabs>
          <w:tab w:val="right" w:leader="dot" w:pos="8312"/>
        </w:tabs>
        <w:ind w:left="960" w:hanging="480"/>
      </w:pPr>
      <w:r>
        <w:fldChar w:fldCharType="begin"/>
      </w:r>
      <w:r>
        <w:instrText xml:space="preserve"> HYPERLINK \l "_Toc13758" </w:instrText>
      </w:r>
      <w:r>
        <w:fldChar w:fldCharType="separate"/>
      </w:r>
      <w:r>
        <w:rPr>
          <w:rFonts w:hint="eastAsia"/>
        </w:rPr>
        <w:t xml:space="preserve">图表 </w:t>
      </w:r>
      <w:r>
        <w:t xml:space="preserve">25 </w:t>
      </w:r>
      <w:r>
        <w:rPr>
          <w:rFonts w:hint="eastAsia"/>
        </w:rPr>
        <w:t>：所在单位网络安全管理状况满意度评价</w:t>
      </w:r>
      <w:r>
        <w:tab/>
      </w:r>
      <w:r>
        <w:fldChar w:fldCharType="end"/>
      </w:r>
    </w:p>
    <w:p>
      <w:pPr>
        <w:pStyle w:val="12"/>
        <w:tabs>
          <w:tab w:val="right" w:leader="dot" w:pos="8312"/>
        </w:tabs>
        <w:ind w:left="960" w:hanging="480"/>
      </w:pPr>
      <w:r>
        <w:fldChar w:fldCharType="begin"/>
      </w:r>
      <w:r>
        <w:instrText xml:space="preserve"> HYPERLINK \l "_Toc14216" </w:instrText>
      </w:r>
      <w:r>
        <w:fldChar w:fldCharType="separate"/>
      </w:r>
      <w:r>
        <w:rPr>
          <w:rFonts w:hint="eastAsia"/>
        </w:rPr>
        <w:t xml:space="preserve">图表 </w:t>
      </w:r>
      <w:r>
        <w:t xml:space="preserve">26 </w:t>
      </w:r>
      <w:r>
        <w:rPr>
          <w:rFonts w:hint="eastAsia"/>
        </w:rPr>
        <w:t>：所在单位网络安全管理需要改善的地方</w:t>
      </w:r>
      <w:r>
        <w:tab/>
      </w:r>
      <w:r>
        <w:fldChar w:fldCharType="end"/>
      </w:r>
    </w:p>
    <w:p>
      <w:pPr>
        <w:pStyle w:val="12"/>
        <w:tabs>
          <w:tab w:val="right" w:leader="dot" w:pos="8312"/>
        </w:tabs>
        <w:ind w:left="960" w:hanging="480"/>
      </w:pPr>
      <w:r>
        <w:fldChar w:fldCharType="begin"/>
      </w:r>
      <w:r>
        <w:instrText xml:space="preserve"> HYPERLINK \l "_Toc9553" </w:instrText>
      </w:r>
      <w:r>
        <w:fldChar w:fldCharType="separate"/>
      </w:r>
      <w:r>
        <w:rPr>
          <w:rFonts w:hint="eastAsia"/>
        </w:rPr>
        <w:t xml:space="preserve">图表 </w:t>
      </w:r>
      <w:r>
        <w:t xml:space="preserve">27 </w:t>
      </w:r>
      <w:r>
        <w:rPr>
          <w:rFonts w:hint="eastAsia"/>
        </w:rPr>
        <w:t>：所在单位网络安全保护专门机构设置情况</w:t>
      </w:r>
      <w:r>
        <w:tab/>
      </w:r>
      <w:r>
        <w:fldChar w:fldCharType="end"/>
      </w:r>
    </w:p>
    <w:p>
      <w:pPr>
        <w:pStyle w:val="12"/>
        <w:tabs>
          <w:tab w:val="right" w:leader="dot" w:pos="8312"/>
        </w:tabs>
        <w:ind w:left="960" w:hanging="480"/>
      </w:pPr>
      <w:r>
        <w:fldChar w:fldCharType="begin"/>
      </w:r>
      <w:r>
        <w:instrText xml:space="preserve"> HYPERLINK \l "_Toc4358" </w:instrText>
      </w:r>
      <w:r>
        <w:fldChar w:fldCharType="separate"/>
      </w:r>
      <w:r>
        <w:rPr>
          <w:rFonts w:hint="eastAsia"/>
        </w:rPr>
        <w:t xml:space="preserve">图表 </w:t>
      </w:r>
      <w:r>
        <w:t xml:space="preserve">28 </w:t>
      </w:r>
      <w:r>
        <w:rPr>
          <w:rFonts w:hint="eastAsia"/>
        </w:rPr>
        <w:t>：所在单位网络安全责任人落实情况</w:t>
      </w:r>
      <w:r>
        <w:tab/>
      </w:r>
      <w:r>
        <w:fldChar w:fldCharType="end"/>
      </w:r>
    </w:p>
    <w:p>
      <w:pPr>
        <w:pStyle w:val="12"/>
        <w:tabs>
          <w:tab w:val="right" w:leader="dot" w:pos="8312"/>
        </w:tabs>
        <w:ind w:left="960" w:hanging="480"/>
      </w:pPr>
      <w:r>
        <w:fldChar w:fldCharType="begin"/>
      </w:r>
      <w:r>
        <w:instrText xml:space="preserve"> HYPERLINK \l "_Toc20404" </w:instrText>
      </w:r>
      <w:r>
        <w:fldChar w:fldCharType="separate"/>
      </w:r>
      <w:r>
        <w:rPr>
          <w:rFonts w:hint="eastAsia"/>
        </w:rPr>
        <w:t xml:space="preserve">图表 </w:t>
      </w:r>
      <w:r>
        <w:t xml:space="preserve">29 </w:t>
      </w:r>
      <w:r>
        <w:rPr>
          <w:rFonts w:hint="eastAsia"/>
        </w:rPr>
        <w:t>：所在单位网络安全经费预算落实情况</w:t>
      </w:r>
      <w:r>
        <w:tab/>
      </w:r>
      <w:r>
        <w:fldChar w:fldCharType="end"/>
      </w:r>
    </w:p>
    <w:p>
      <w:pPr>
        <w:pStyle w:val="12"/>
        <w:tabs>
          <w:tab w:val="right" w:leader="dot" w:pos="8312"/>
        </w:tabs>
        <w:ind w:left="960" w:hanging="480"/>
      </w:pPr>
      <w:r>
        <w:fldChar w:fldCharType="begin"/>
      </w:r>
      <w:r>
        <w:instrText xml:space="preserve"> HYPERLINK \l "_Toc20517" </w:instrText>
      </w:r>
      <w:r>
        <w:fldChar w:fldCharType="separate"/>
      </w:r>
      <w:r>
        <w:rPr>
          <w:rFonts w:hint="eastAsia"/>
        </w:rPr>
        <w:t xml:space="preserve">图表 </w:t>
      </w:r>
      <w:r>
        <w:t xml:space="preserve">30 </w:t>
      </w:r>
      <w:r>
        <w:rPr>
          <w:rFonts w:hint="eastAsia"/>
        </w:rPr>
        <w:t>：对企业网络安全合规应遵循法规的认识</w:t>
      </w:r>
      <w:r>
        <w:tab/>
      </w:r>
      <w:r>
        <w:fldChar w:fldCharType="end"/>
      </w:r>
    </w:p>
    <w:p>
      <w:pPr>
        <w:pStyle w:val="12"/>
        <w:tabs>
          <w:tab w:val="right" w:leader="dot" w:pos="8312"/>
        </w:tabs>
        <w:ind w:left="960" w:hanging="480"/>
      </w:pPr>
      <w:r>
        <w:fldChar w:fldCharType="begin"/>
      </w:r>
      <w:r>
        <w:instrText xml:space="preserve"> HYPERLINK \l "_Toc4952" </w:instrText>
      </w:r>
      <w:r>
        <w:fldChar w:fldCharType="separate"/>
      </w:r>
      <w:r>
        <w:rPr>
          <w:rFonts w:hint="eastAsia"/>
        </w:rPr>
        <w:t xml:space="preserve">图表 </w:t>
      </w:r>
      <w:r>
        <w:t xml:space="preserve">31 </w:t>
      </w:r>
      <w:r>
        <w:rPr>
          <w:rFonts w:hint="eastAsia"/>
        </w:rPr>
        <w:t>：政府提供的网络安全服务对行业帮助的有效性评价</w:t>
      </w:r>
      <w:r>
        <w:tab/>
      </w:r>
      <w:r>
        <w:fldChar w:fldCharType="end"/>
      </w:r>
    </w:p>
    <w:p>
      <w:pPr>
        <w:pStyle w:val="12"/>
        <w:tabs>
          <w:tab w:val="right" w:leader="dot" w:pos="8312"/>
        </w:tabs>
        <w:ind w:left="960" w:hanging="480"/>
      </w:pPr>
      <w:r>
        <w:fldChar w:fldCharType="begin"/>
      </w:r>
      <w:r>
        <w:instrText xml:space="preserve"> HYPERLINK \l "_Toc15855" </w:instrText>
      </w:r>
      <w:r>
        <w:fldChar w:fldCharType="separate"/>
      </w:r>
      <w:r>
        <w:rPr>
          <w:rFonts w:hint="eastAsia"/>
        </w:rPr>
        <w:t xml:space="preserve">图表 </w:t>
      </w:r>
      <w:r>
        <w:t xml:space="preserve">32 </w:t>
      </w:r>
      <w:r>
        <w:rPr>
          <w:rFonts w:hint="eastAsia"/>
        </w:rPr>
        <w:t>：从业人员网络安全培训情况</w:t>
      </w:r>
      <w:r>
        <w:tab/>
      </w:r>
      <w:r>
        <w:fldChar w:fldCharType="end"/>
      </w:r>
    </w:p>
    <w:p>
      <w:pPr>
        <w:pStyle w:val="12"/>
        <w:tabs>
          <w:tab w:val="right" w:leader="dot" w:pos="8312"/>
        </w:tabs>
        <w:ind w:left="960" w:hanging="480"/>
      </w:pPr>
      <w:r>
        <w:fldChar w:fldCharType="begin"/>
      </w:r>
      <w:r>
        <w:instrText xml:space="preserve"> HYPERLINK \l "_Toc12736" </w:instrText>
      </w:r>
      <w:r>
        <w:fldChar w:fldCharType="separate"/>
      </w:r>
      <w:r>
        <w:rPr>
          <w:rFonts w:hint="eastAsia"/>
        </w:rPr>
        <w:t xml:space="preserve">图表 </w:t>
      </w:r>
      <w:r>
        <w:t xml:space="preserve">33 </w:t>
      </w:r>
      <w:r>
        <w:rPr>
          <w:rFonts w:hint="eastAsia"/>
        </w:rPr>
        <w:t>：从业人员对网络安全“三化”概念的认识</w:t>
      </w:r>
      <w:r>
        <w:tab/>
      </w:r>
      <w:r>
        <w:fldChar w:fldCharType="end"/>
      </w:r>
    </w:p>
    <w:p>
      <w:pPr>
        <w:pStyle w:val="12"/>
        <w:tabs>
          <w:tab w:val="right" w:leader="dot" w:pos="8312"/>
        </w:tabs>
        <w:ind w:left="960" w:hanging="480"/>
      </w:pPr>
      <w:r>
        <w:fldChar w:fldCharType="begin"/>
      </w:r>
      <w:r>
        <w:instrText xml:space="preserve"> HYPERLINK \l "_Toc22823" </w:instrText>
      </w:r>
      <w:r>
        <w:fldChar w:fldCharType="separate"/>
      </w:r>
      <w:r>
        <w:rPr>
          <w:rFonts w:hint="eastAsia"/>
        </w:rPr>
        <w:t xml:space="preserve">图表 </w:t>
      </w:r>
      <w:r>
        <w:t xml:space="preserve">34 </w:t>
      </w:r>
      <w:r>
        <w:rPr>
          <w:rFonts w:hint="eastAsia"/>
        </w:rPr>
        <w:t>：从业人员对网络安全“六防”措施的认识</w:t>
      </w:r>
      <w:r>
        <w:tab/>
      </w:r>
      <w:r>
        <w:fldChar w:fldCharType="end"/>
      </w:r>
    </w:p>
    <w:p>
      <w:pPr>
        <w:pStyle w:val="12"/>
        <w:tabs>
          <w:tab w:val="right" w:leader="dot" w:pos="8312"/>
        </w:tabs>
        <w:ind w:left="960" w:hanging="480"/>
      </w:pPr>
      <w:r>
        <w:fldChar w:fldCharType="begin"/>
      </w:r>
      <w:r>
        <w:instrText xml:space="preserve"> HYPERLINK \l "_Toc23000" </w:instrText>
      </w:r>
      <w:r>
        <w:fldChar w:fldCharType="separate"/>
      </w:r>
      <w:r>
        <w:rPr>
          <w:rFonts w:hint="eastAsia"/>
        </w:rPr>
        <w:t xml:space="preserve">图表 </w:t>
      </w:r>
      <w:r>
        <w:t xml:space="preserve">35 </w:t>
      </w:r>
      <w:r>
        <w:rPr>
          <w:rFonts w:hint="eastAsia"/>
        </w:rPr>
        <w:t>：对网络安全等级保护制度2.0标准的了解</w:t>
      </w:r>
      <w:r>
        <w:tab/>
      </w:r>
      <w:r>
        <w:fldChar w:fldCharType="end"/>
      </w:r>
    </w:p>
    <w:p>
      <w:pPr>
        <w:pStyle w:val="12"/>
        <w:tabs>
          <w:tab w:val="right" w:leader="dot" w:pos="8312"/>
        </w:tabs>
        <w:ind w:left="960" w:hanging="480"/>
      </w:pPr>
      <w:r>
        <w:fldChar w:fldCharType="begin"/>
      </w:r>
      <w:r>
        <w:instrText xml:space="preserve"> HYPERLINK \l "_Toc21303" </w:instrText>
      </w:r>
      <w:r>
        <w:fldChar w:fldCharType="separate"/>
      </w:r>
      <w:r>
        <w:rPr>
          <w:rFonts w:hint="eastAsia"/>
        </w:rPr>
        <w:t xml:space="preserve">图表 </w:t>
      </w:r>
      <w:r>
        <w:t xml:space="preserve">36 </w:t>
      </w:r>
      <w:r>
        <w:rPr>
          <w:rFonts w:hint="eastAsia"/>
        </w:rPr>
        <w:t>：网络安全等级保护对产业、企业发展的推动作用</w:t>
      </w:r>
      <w:r>
        <w:tab/>
      </w:r>
      <w:r>
        <w:fldChar w:fldCharType="end"/>
      </w:r>
    </w:p>
    <w:p>
      <w:pPr>
        <w:pStyle w:val="12"/>
        <w:tabs>
          <w:tab w:val="right" w:leader="dot" w:pos="8312"/>
        </w:tabs>
        <w:ind w:left="960" w:hanging="480"/>
      </w:pPr>
      <w:r>
        <w:fldChar w:fldCharType="begin"/>
      </w:r>
      <w:r>
        <w:instrText xml:space="preserve"> HYPERLINK \l "_Toc11399" </w:instrText>
      </w:r>
      <w:r>
        <w:fldChar w:fldCharType="separate"/>
      </w:r>
      <w:r>
        <w:rPr>
          <w:rFonts w:hint="eastAsia"/>
        </w:rPr>
        <w:t xml:space="preserve">图表 </w:t>
      </w:r>
      <w:r>
        <w:t xml:space="preserve">37 </w:t>
      </w:r>
      <w:r>
        <w:rPr>
          <w:rFonts w:hint="eastAsia"/>
        </w:rPr>
        <w:t>：所在单位网络安全等级保护开展情况</w:t>
      </w:r>
      <w:r>
        <w:tab/>
      </w:r>
      <w:r>
        <w:fldChar w:fldCharType="end"/>
      </w:r>
    </w:p>
    <w:p>
      <w:pPr>
        <w:pStyle w:val="12"/>
        <w:tabs>
          <w:tab w:val="right" w:leader="dot" w:pos="8312"/>
        </w:tabs>
        <w:ind w:left="960" w:hanging="480"/>
      </w:pPr>
      <w:r>
        <w:fldChar w:fldCharType="begin"/>
      </w:r>
      <w:r>
        <w:instrText xml:space="preserve"> HYPERLINK \l "_Toc22890" </w:instrText>
      </w:r>
      <w:r>
        <w:fldChar w:fldCharType="separate"/>
      </w:r>
      <w:r>
        <w:rPr>
          <w:rFonts w:hint="eastAsia"/>
        </w:rPr>
        <w:t xml:space="preserve">图表 </w:t>
      </w:r>
      <w:r>
        <w:t xml:space="preserve">38 </w:t>
      </w:r>
      <w:r>
        <w:rPr>
          <w:rFonts w:hint="eastAsia"/>
        </w:rPr>
        <w:t>：对测评机构服务满意度评价</w:t>
      </w:r>
      <w:r>
        <w:tab/>
      </w:r>
      <w:r>
        <w:fldChar w:fldCharType="end"/>
      </w:r>
    </w:p>
    <w:p>
      <w:pPr>
        <w:pStyle w:val="12"/>
        <w:tabs>
          <w:tab w:val="right" w:leader="dot" w:pos="8312"/>
        </w:tabs>
        <w:ind w:left="960" w:hanging="480"/>
      </w:pPr>
      <w:r>
        <w:fldChar w:fldCharType="begin"/>
      </w:r>
      <w:r>
        <w:instrText xml:space="preserve"> HYPERLINK \l "_Toc28551" </w:instrText>
      </w:r>
      <w:r>
        <w:fldChar w:fldCharType="separate"/>
      </w:r>
      <w:r>
        <w:rPr>
          <w:rFonts w:hint="eastAsia"/>
        </w:rPr>
        <w:t xml:space="preserve">图表 </w:t>
      </w:r>
      <w:r>
        <w:t xml:space="preserve">39 </w:t>
      </w:r>
      <w:r>
        <w:rPr>
          <w:rFonts w:hint="eastAsia"/>
        </w:rPr>
        <w:t>：对测评服务不满意的原因</w:t>
      </w:r>
      <w:r>
        <w:tab/>
      </w:r>
      <w:r>
        <w:fldChar w:fldCharType="end"/>
      </w:r>
    </w:p>
    <w:p>
      <w:pPr>
        <w:pStyle w:val="12"/>
        <w:tabs>
          <w:tab w:val="right" w:leader="dot" w:pos="8312"/>
        </w:tabs>
        <w:ind w:left="960" w:hanging="480"/>
      </w:pPr>
      <w:r>
        <w:fldChar w:fldCharType="begin"/>
      </w:r>
      <w:r>
        <w:instrText xml:space="preserve"> HYPERLINK \l "_Toc32347" </w:instrText>
      </w:r>
      <w:r>
        <w:fldChar w:fldCharType="separate"/>
      </w:r>
      <w:r>
        <w:rPr>
          <w:rFonts w:hint="eastAsia"/>
        </w:rPr>
        <w:t xml:space="preserve">图表 </w:t>
      </w:r>
      <w:r>
        <w:t xml:space="preserve">40 </w:t>
      </w:r>
      <w:r>
        <w:rPr>
          <w:rFonts w:hint="eastAsia"/>
        </w:rPr>
        <w:t>：所在单位发生网络安全事件</w:t>
      </w:r>
      <w:r>
        <w:tab/>
      </w:r>
      <w:r>
        <w:fldChar w:fldCharType="end"/>
      </w:r>
    </w:p>
    <w:p>
      <w:pPr>
        <w:pStyle w:val="12"/>
        <w:tabs>
          <w:tab w:val="right" w:leader="dot" w:pos="8312"/>
        </w:tabs>
        <w:ind w:left="960" w:hanging="480"/>
      </w:pPr>
      <w:r>
        <w:fldChar w:fldCharType="begin"/>
      </w:r>
      <w:r>
        <w:instrText xml:space="preserve"> HYPERLINK \l "_Toc25205" </w:instrText>
      </w:r>
      <w:r>
        <w:fldChar w:fldCharType="separate"/>
      </w:r>
      <w:r>
        <w:rPr>
          <w:rFonts w:hint="eastAsia"/>
        </w:rPr>
        <w:t xml:space="preserve">图表 </w:t>
      </w:r>
      <w:r>
        <w:t xml:space="preserve">41 </w:t>
      </w:r>
      <w:r>
        <w:rPr>
          <w:rFonts w:hint="eastAsia"/>
        </w:rPr>
        <w:t>：单位发生网络安全事件种类</w:t>
      </w:r>
      <w:r>
        <w:tab/>
      </w:r>
      <w:r>
        <w:fldChar w:fldCharType="end"/>
      </w:r>
    </w:p>
    <w:p>
      <w:pPr>
        <w:pStyle w:val="12"/>
        <w:tabs>
          <w:tab w:val="right" w:leader="dot" w:pos="8312"/>
        </w:tabs>
        <w:ind w:left="960" w:hanging="480"/>
      </w:pPr>
      <w:r>
        <w:fldChar w:fldCharType="begin"/>
      </w:r>
      <w:r>
        <w:instrText xml:space="preserve"> HYPERLINK \l "_Toc22446" </w:instrText>
      </w:r>
      <w:r>
        <w:fldChar w:fldCharType="separate"/>
      </w:r>
      <w:r>
        <w:rPr>
          <w:rFonts w:hint="eastAsia"/>
        </w:rPr>
        <w:t xml:space="preserve">图表 </w:t>
      </w:r>
      <w:r>
        <w:t xml:space="preserve">42 </w:t>
      </w:r>
      <w:r>
        <w:rPr>
          <w:rFonts w:hint="eastAsia"/>
        </w:rPr>
        <w:t>：单位网络安全应急预案完善度</w:t>
      </w:r>
      <w:r>
        <w:tab/>
      </w:r>
      <w:r>
        <w:fldChar w:fldCharType="end"/>
      </w:r>
    </w:p>
    <w:p>
      <w:pPr>
        <w:pStyle w:val="12"/>
        <w:tabs>
          <w:tab w:val="right" w:leader="dot" w:pos="8312"/>
        </w:tabs>
        <w:ind w:left="960" w:hanging="480"/>
      </w:pPr>
      <w:r>
        <w:fldChar w:fldCharType="begin"/>
      </w:r>
      <w:r>
        <w:instrText xml:space="preserve"> HYPERLINK \l "_Toc27172" </w:instrText>
      </w:r>
      <w:r>
        <w:fldChar w:fldCharType="separate"/>
      </w:r>
      <w:r>
        <w:rPr>
          <w:rFonts w:hint="eastAsia"/>
        </w:rPr>
        <w:t xml:space="preserve">图表 </w:t>
      </w:r>
      <w:r>
        <w:t xml:space="preserve">43 </w:t>
      </w:r>
      <w:r>
        <w:rPr>
          <w:rFonts w:hint="eastAsia"/>
        </w:rPr>
        <w:t>：单位网络安全事件报案情况</w:t>
      </w:r>
      <w:r>
        <w:tab/>
      </w:r>
      <w:r>
        <w:fldChar w:fldCharType="end"/>
      </w:r>
    </w:p>
    <w:p>
      <w:pPr>
        <w:pStyle w:val="12"/>
        <w:tabs>
          <w:tab w:val="right" w:leader="dot" w:pos="8312"/>
        </w:tabs>
        <w:ind w:left="960" w:hanging="480"/>
      </w:pPr>
      <w:r>
        <w:fldChar w:fldCharType="begin"/>
      </w:r>
      <w:r>
        <w:instrText xml:space="preserve"> HYPERLINK \l "_Toc9213" </w:instrText>
      </w:r>
      <w:r>
        <w:fldChar w:fldCharType="separate"/>
      </w:r>
      <w:r>
        <w:rPr>
          <w:rFonts w:hint="eastAsia"/>
        </w:rPr>
        <w:t xml:space="preserve">图表 </w:t>
      </w:r>
      <w:r>
        <w:t xml:space="preserve">44 </w:t>
      </w:r>
      <w:r>
        <w:rPr>
          <w:rFonts w:hint="eastAsia"/>
        </w:rPr>
        <w:t>：公安机关网络安全案件受理工作评价</w:t>
      </w:r>
      <w:r>
        <w:tab/>
      </w:r>
      <w:r>
        <w:fldChar w:fldCharType="end"/>
      </w:r>
    </w:p>
    <w:p>
      <w:pPr>
        <w:pStyle w:val="12"/>
        <w:tabs>
          <w:tab w:val="right" w:leader="dot" w:pos="8312"/>
        </w:tabs>
        <w:ind w:left="960" w:hanging="480"/>
      </w:pPr>
      <w:r>
        <w:fldChar w:fldCharType="begin"/>
      </w:r>
      <w:r>
        <w:instrText xml:space="preserve"> HYPERLINK \l "_Toc1591" </w:instrText>
      </w:r>
      <w:r>
        <w:fldChar w:fldCharType="separate"/>
      </w:r>
      <w:r>
        <w:rPr>
          <w:rFonts w:hint="eastAsia"/>
        </w:rPr>
        <w:t xml:space="preserve">图表 </w:t>
      </w:r>
      <w:r>
        <w:t xml:space="preserve">45 </w:t>
      </w:r>
      <w:r>
        <w:rPr>
          <w:rFonts w:hint="eastAsia"/>
        </w:rPr>
        <w:t>：公安机关网络安全案件受理不满意的原因</w:t>
      </w:r>
      <w:r>
        <w:tab/>
      </w:r>
      <w:r>
        <w:fldChar w:fldCharType="end"/>
      </w:r>
    </w:p>
    <w:p>
      <w:pPr>
        <w:pStyle w:val="12"/>
        <w:tabs>
          <w:tab w:val="right" w:leader="dot" w:pos="8312"/>
        </w:tabs>
        <w:ind w:left="960" w:hanging="480"/>
      </w:pPr>
      <w:r>
        <w:fldChar w:fldCharType="begin"/>
      </w:r>
      <w:r>
        <w:instrText xml:space="preserve"> HYPERLINK \l "_Toc3349" </w:instrText>
      </w:r>
      <w:r>
        <w:fldChar w:fldCharType="separate"/>
      </w:r>
      <w:r>
        <w:rPr>
          <w:rFonts w:hint="eastAsia"/>
        </w:rPr>
        <w:t xml:space="preserve">图表 </w:t>
      </w:r>
      <w:r>
        <w:t xml:space="preserve">46 </w:t>
      </w:r>
      <w:r>
        <w:rPr>
          <w:rFonts w:hint="eastAsia"/>
        </w:rPr>
        <w:t>：对关键信息基础设施安全保护要求的认识</w:t>
      </w:r>
      <w:r>
        <w:tab/>
      </w:r>
      <w:r>
        <w:fldChar w:fldCharType="end"/>
      </w:r>
    </w:p>
    <w:p>
      <w:pPr>
        <w:pStyle w:val="12"/>
        <w:tabs>
          <w:tab w:val="right" w:leader="dot" w:pos="8312"/>
        </w:tabs>
        <w:ind w:left="960" w:hanging="480"/>
      </w:pPr>
      <w:r>
        <w:fldChar w:fldCharType="begin"/>
      </w:r>
      <w:r>
        <w:instrText xml:space="preserve"> HYPERLINK \l "_Toc17647" </w:instrText>
      </w:r>
      <w:r>
        <w:fldChar w:fldCharType="separate"/>
      </w:r>
      <w:r>
        <w:rPr>
          <w:rFonts w:hint="eastAsia"/>
        </w:rPr>
        <w:t xml:space="preserve">图表 </w:t>
      </w:r>
      <w:r>
        <w:t xml:space="preserve">47 </w:t>
      </w:r>
      <w:r>
        <w:rPr>
          <w:rFonts w:hint="eastAsia"/>
        </w:rPr>
        <w:t>：所在单位是否定期进行网络安全检查</w:t>
      </w:r>
      <w:r>
        <w:tab/>
      </w:r>
      <w:r>
        <w:fldChar w:fldCharType="end"/>
      </w:r>
    </w:p>
    <w:p>
      <w:pPr>
        <w:pStyle w:val="12"/>
        <w:tabs>
          <w:tab w:val="right" w:leader="dot" w:pos="8312"/>
        </w:tabs>
        <w:ind w:left="960" w:hanging="480"/>
      </w:pPr>
      <w:r>
        <w:fldChar w:fldCharType="begin"/>
      </w:r>
      <w:r>
        <w:instrText xml:space="preserve"> HYPERLINK \l "_Toc23139" </w:instrText>
      </w:r>
      <w:r>
        <w:fldChar w:fldCharType="separate"/>
      </w:r>
      <w:r>
        <w:rPr>
          <w:rFonts w:hint="eastAsia"/>
        </w:rPr>
        <w:t xml:space="preserve">图表 </w:t>
      </w:r>
      <w:r>
        <w:t xml:space="preserve">48 </w:t>
      </w:r>
      <w:r>
        <w:rPr>
          <w:rFonts w:hint="eastAsia"/>
        </w:rPr>
        <w:t>：对当前促进网络安全产品与服务发展的政策环境的评价</w:t>
      </w:r>
      <w:r>
        <w:tab/>
      </w:r>
      <w:r>
        <w:fldChar w:fldCharType="end"/>
      </w:r>
    </w:p>
    <w:p>
      <w:pPr>
        <w:pStyle w:val="12"/>
        <w:tabs>
          <w:tab w:val="right" w:leader="dot" w:pos="8312"/>
        </w:tabs>
        <w:ind w:left="960" w:hanging="480"/>
      </w:pPr>
      <w:r>
        <w:fldChar w:fldCharType="begin"/>
      </w:r>
      <w:r>
        <w:instrText xml:space="preserve"> HYPERLINK \l "_Toc10561" </w:instrText>
      </w:r>
      <w:r>
        <w:fldChar w:fldCharType="separate"/>
      </w:r>
      <w:r>
        <w:rPr>
          <w:rFonts w:hint="eastAsia"/>
        </w:rPr>
        <w:t xml:space="preserve">图表 </w:t>
      </w:r>
      <w:r>
        <w:t xml:space="preserve">49 </w:t>
      </w:r>
      <w:r>
        <w:rPr>
          <w:rFonts w:hint="eastAsia"/>
        </w:rPr>
        <w:t>：当前网络安全行业市场的需求变化</w:t>
      </w:r>
      <w:r>
        <w:tab/>
      </w:r>
      <w:r>
        <w:fldChar w:fldCharType="end"/>
      </w:r>
    </w:p>
    <w:p>
      <w:pPr>
        <w:pStyle w:val="12"/>
        <w:tabs>
          <w:tab w:val="right" w:leader="dot" w:pos="8312"/>
        </w:tabs>
        <w:ind w:left="960" w:hanging="480"/>
      </w:pPr>
      <w:r>
        <w:fldChar w:fldCharType="begin"/>
      </w:r>
      <w:r>
        <w:instrText xml:space="preserve"> HYPERLINK \l "_Toc10153" </w:instrText>
      </w:r>
      <w:r>
        <w:fldChar w:fldCharType="separate"/>
      </w:r>
      <w:r>
        <w:rPr>
          <w:rFonts w:hint="eastAsia"/>
        </w:rPr>
        <w:t xml:space="preserve">图表 </w:t>
      </w:r>
      <w:r>
        <w:t xml:space="preserve">50 </w:t>
      </w:r>
      <w:r>
        <w:rPr>
          <w:rFonts w:hint="eastAsia"/>
        </w:rPr>
        <w:t>：目前网络安全行业提供的网络安全保障水平评价</w:t>
      </w:r>
      <w:r>
        <w:tab/>
      </w:r>
      <w:r>
        <w:fldChar w:fldCharType="end"/>
      </w:r>
    </w:p>
    <w:p>
      <w:pPr>
        <w:pStyle w:val="12"/>
        <w:tabs>
          <w:tab w:val="right" w:leader="dot" w:pos="8312"/>
        </w:tabs>
        <w:ind w:left="960" w:hanging="480"/>
      </w:pPr>
      <w:r>
        <w:fldChar w:fldCharType="begin"/>
      </w:r>
      <w:r>
        <w:instrText xml:space="preserve"> HYPERLINK \l "_Toc14124" </w:instrText>
      </w:r>
      <w:r>
        <w:fldChar w:fldCharType="separate"/>
      </w:r>
      <w:r>
        <w:rPr>
          <w:rFonts w:hint="eastAsia"/>
        </w:rPr>
        <w:t xml:space="preserve">图表 </w:t>
      </w:r>
      <w:r>
        <w:t xml:space="preserve">51 </w:t>
      </w:r>
      <w:r>
        <w:rPr>
          <w:rFonts w:hint="eastAsia"/>
        </w:rPr>
        <w:t>：当前信息技术产业供应链安全问题的威胁</w:t>
      </w:r>
      <w:r>
        <w:tab/>
      </w:r>
      <w:r>
        <w:fldChar w:fldCharType="end"/>
      </w:r>
    </w:p>
    <w:p>
      <w:pPr>
        <w:pStyle w:val="12"/>
        <w:tabs>
          <w:tab w:val="right" w:leader="dot" w:pos="8312"/>
        </w:tabs>
        <w:ind w:left="960" w:hanging="480"/>
      </w:pPr>
      <w:r>
        <w:fldChar w:fldCharType="begin"/>
      </w:r>
      <w:r>
        <w:instrText xml:space="preserve"> HYPERLINK \l "_Toc29685" </w:instrText>
      </w:r>
      <w:r>
        <w:fldChar w:fldCharType="separate"/>
      </w:r>
      <w:r>
        <w:rPr>
          <w:rFonts w:hint="eastAsia"/>
        </w:rPr>
        <w:t xml:space="preserve">图表 </w:t>
      </w:r>
      <w:r>
        <w:t xml:space="preserve">52 </w:t>
      </w:r>
      <w:r>
        <w:rPr>
          <w:rFonts w:hint="eastAsia"/>
        </w:rPr>
        <w:t>：当前网络安全产品与服务的资费水平</w:t>
      </w:r>
      <w:r>
        <w:tab/>
      </w:r>
      <w:r>
        <w:fldChar w:fldCharType="end"/>
      </w:r>
    </w:p>
    <w:p>
      <w:pPr>
        <w:pStyle w:val="12"/>
        <w:tabs>
          <w:tab w:val="right" w:leader="dot" w:pos="8312"/>
        </w:tabs>
        <w:ind w:left="960" w:hanging="480"/>
      </w:pPr>
      <w:r>
        <w:fldChar w:fldCharType="begin"/>
      </w:r>
      <w:r>
        <w:instrText xml:space="preserve"> HYPERLINK \l "_Toc6729" </w:instrText>
      </w:r>
      <w:r>
        <w:fldChar w:fldCharType="separate"/>
      </w:r>
      <w:r>
        <w:rPr>
          <w:rFonts w:hint="eastAsia"/>
        </w:rPr>
        <w:t xml:space="preserve">图表 </w:t>
      </w:r>
      <w:r>
        <w:t xml:space="preserve">53 </w:t>
      </w:r>
      <w:r>
        <w:rPr>
          <w:rFonts w:hint="eastAsia"/>
        </w:rPr>
        <w:t>：当前网络安全产品与服务存在的不足之处</w:t>
      </w:r>
      <w:r>
        <w:tab/>
      </w:r>
      <w:r>
        <w:fldChar w:fldCharType="end"/>
      </w:r>
    </w:p>
    <w:p>
      <w:pPr>
        <w:pStyle w:val="12"/>
        <w:tabs>
          <w:tab w:val="right" w:leader="dot" w:pos="8312"/>
        </w:tabs>
        <w:ind w:left="960" w:hanging="480"/>
      </w:pPr>
      <w:r>
        <w:fldChar w:fldCharType="begin"/>
      </w:r>
      <w:r>
        <w:instrText xml:space="preserve"> HYPERLINK \l "_Toc7380" </w:instrText>
      </w:r>
      <w:r>
        <w:fldChar w:fldCharType="separate"/>
      </w:r>
      <w:r>
        <w:rPr>
          <w:rFonts w:hint="eastAsia"/>
        </w:rPr>
        <w:t xml:space="preserve">图表 </w:t>
      </w:r>
      <w:r>
        <w:t xml:space="preserve">54 </w:t>
      </w:r>
      <w:r>
        <w:rPr>
          <w:rFonts w:hint="eastAsia"/>
        </w:rPr>
        <w:t>：当前网络安全产品与服务是否应该实行等级评价管理</w:t>
      </w:r>
      <w:r>
        <w:tab/>
      </w:r>
      <w:r>
        <w:fldChar w:fldCharType="end"/>
      </w:r>
    </w:p>
    <w:p>
      <w:pPr>
        <w:pStyle w:val="12"/>
        <w:tabs>
          <w:tab w:val="right" w:leader="dot" w:pos="8312"/>
        </w:tabs>
        <w:ind w:left="960" w:hanging="480"/>
      </w:pPr>
      <w:r>
        <w:fldChar w:fldCharType="begin"/>
      </w:r>
      <w:r>
        <w:instrText xml:space="preserve"> HYPERLINK \l "_Toc6820" </w:instrText>
      </w:r>
      <w:r>
        <w:fldChar w:fldCharType="separate"/>
      </w:r>
      <w:r>
        <w:rPr>
          <w:rFonts w:hint="eastAsia"/>
        </w:rPr>
        <w:t xml:space="preserve">图表 </w:t>
      </w:r>
      <w:r>
        <w:t xml:space="preserve">55 </w:t>
      </w:r>
      <w:r>
        <w:rPr>
          <w:rFonts w:hint="eastAsia"/>
        </w:rPr>
        <w:t>：当前网络安全技术人才数量评价</w:t>
      </w:r>
      <w:r>
        <w:tab/>
      </w:r>
      <w:r>
        <w:fldChar w:fldCharType="end"/>
      </w:r>
    </w:p>
    <w:p>
      <w:pPr>
        <w:pStyle w:val="12"/>
        <w:tabs>
          <w:tab w:val="right" w:leader="dot" w:pos="8312"/>
        </w:tabs>
        <w:ind w:left="960" w:hanging="480"/>
      </w:pPr>
      <w:r>
        <w:fldChar w:fldCharType="begin"/>
      </w:r>
      <w:r>
        <w:instrText xml:space="preserve"> HYPERLINK \l "_Toc6595" </w:instrText>
      </w:r>
      <w:r>
        <w:fldChar w:fldCharType="separate"/>
      </w:r>
      <w:r>
        <w:rPr>
          <w:rFonts w:hint="eastAsia"/>
        </w:rPr>
        <w:t xml:space="preserve">图表 </w:t>
      </w:r>
      <w:r>
        <w:t xml:space="preserve">56 </w:t>
      </w:r>
      <w:r>
        <w:rPr>
          <w:rFonts w:hint="eastAsia"/>
        </w:rPr>
        <w:t>：当前网络安全测评机构数量评价</w:t>
      </w:r>
      <w:r>
        <w:tab/>
      </w:r>
      <w:r>
        <w:fldChar w:fldCharType="end"/>
      </w:r>
    </w:p>
    <w:p>
      <w:pPr>
        <w:pStyle w:val="12"/>
        <w:tabs>
          <w:tab w:val="right" w:leader="dot" w:pos="8312"/>
        </w:tabs>
        <w:ind w:left="960" w:hanging="480"/>
      </w:pPr>
      <w:r>
        <w:fldChar w:fldCharType="begin"/>
      </w:r>
      <w:r>
        <w:instrText xml:space="preserve"> HYPERLINK \l "_Toc21450" </w:instrText>
      </w:r>
      <w:r>
        <w:fldChar w:fldCharType="separate"/>
      </w:r>
      <w:r>
        <w:rPr>
          <w:rFonts w:hint="eastAsia"/>
        </w:rPr>
        <w:t xml:space="preserve">图表 </w:t>
      </w:r>
      <w:r>
        <w:t xml:space="preserve">57 </w:t>
      </w:r>
      <w:r>
        <w:rPr>
          <w:rFonts w:hint="eastAsia"/>
        </w:rPr>
        <w:t>：对测评机构提供服务的需求</w:t>
      </w:r>
      <w:r>
        <w:tab/>
      </w:r>
      <w:r>
        <w:fldChar w:fldCharType="end"/>
      </w:r>
    </w:p>
    <w:p>
      <w:pPr>
        <w:pStyle w:val="12"/>
        <w:tabs>
          <w:tab w:val="right" w:leader="dot" w:pos="8312"/>
        </w:tabs>
        <w:ind w:left="960" w:hanging="480"/>
      </w:pPr>
      <w:r>
        <w:fldChar w:fldCharType="begin"/>
      </w:r>
      <w:r>
        <w:instrText xml:space="preserve"> HYPERLINK \l "_Toc3046" </w:instrText>
      </w:r>
      <w:r>
        <w:fldChar w:fldCharType="separate"/>
      </w:r>
      <w:r>
        <w:rPr>
          <w:rFonts w:hint="eastAsia"/>
        </w:rPr>
        <w:t xml:space="preserve">图表 </w:t>
      </w:r>
      <w:r>
        <w:t xml:space="preserve">58 </w:t>
      </w:r>
      <w:r>
        <w:rPr>
          <w:rFonts w:hint="eastAsia"/>
        </w:rPr>
        <w:t>：制约网络安全行业发展的主要障碍</w:t>
      </w:r>
      <w:r>
        <w:tab/>
      </w:r>
      <w:r>
        <w:fldChar w:fldCharType="end"/>
      </w:r>
    </w:p>
    <w:p>
      <w:pPr>
        <w:pStyle w:val="12"/>
        <w:tabs>
          <w:tab w:val="right" w:leader="dot" w:pos="8312"/>
        </w:tabs>
        <w:ind w:left="960" w:hanging="480"/>
      </w:pPr>
      <w:r>
        <w:fldChar w:fldCharType="begin"/>
      </w:r>
      <w:r>
        <w:instrText xml:space="preserve"> HYPERLINK \l "_Toc25123" </w:instrText>
      </w:r>
      <w:r>
        <w:fldChar w:fldCharType="separate"/>
      </w:r>
      <w:r>
        <w:rPr>
          <w:rFonts w:hint="eastAsia"/>
        </w:rPr>
        <w:t xml:space="preserve">图表 </w:t>
      </w:r>
      <w:r>
        <w:t xml:space="preserve">59 </w:t>
      </w:r>
      <w:r>
        <w:rPr>
          <w:rFonts w:hint="eastAsia"/>
        </w:rPr>
        <w:t>：网络安全行业未来一年发展的趋势评价</w:t>
      </w:r>
      <w:r>
        <w:tab/>
      </w:r>
      <w:r>
        <w:fldChar w:fldCharType="end"/>
      </w:r>
    </w:p>
    <w:p>
      <w:pPr>
        <w:pStyle w:val="12"/>
        <w:tabs>
          <w:tab w:val="right" w:leader="dot" w:pos="8312"/>
        </w:tabs>
        <w:ind w:left="960" w:hanging="480"/>
      </w:pPr>
      <w:r>
        <w:fldChar w:fldCharType="begin"/>
      </w:r>
      <w:r>
        <w:instrText xml:space="preserve"> HYPERLINK \l "_Toc27246" </w:instrText>
      </w:r>
      <w:r>
        <w:fldChar w:fldCharType="separate"/>
      </w:r>
      <w:r>
        <w:rPr>
          <w:rFonts w:hint="eastAsia"/>
        </w:rPr>
        <w:t xml:space="preserve">图表 </w:t>
      </w:r>
      <w:r>
        <w:t xml:space="preserve">60 </w:t>
      </w:r>
      <w:r>
        <w:rPr>
          <w:rFonts w:hint="eastAsia"/>
        </w:rPr>
        <w:t>：网络安全行业协会等社会组织服务情况</w:t>
      </w:r>
      <w:r>
        <w:tab/>
      </w:r>
      <w:r>
        <w:fldChar w:fldCharType="end"/>
      </w:r>
    </w:p>
    <w:p>
      <w:pPr>
        <w:pStyle w:val="12"/>
        <w:tabs>
          <w:tab w:val="right" w:leader="dot" w:pos="8312"/>
        </w:tabs>
        <w:ind w:left="960" w:hanging="480"/>
      </w:pPr>
      <w:r>
        <w:fldChar w:fldCharType="begin"/>
      </w:r>
      <w:r>
        <w:instrText xml:space="preserve"> HYPERLINK \l "_Toc11389" </w:instrText>
      </w:r>
      <w:r>
        <w:fldChar w:fldCharType="separate"/>
      </w:r>
      <w:r>
        <w:rPr>
          <w:rFonts w:hint="eastAsia"/>
        </w:rPr>
        <w:t xml:space="preserve">图表 </w:t>
      </w:r>
      <w:r>
        <w:t xml:space="preserve">61 </w:t>
      </w:r>
      <w:r>
        <w:rPr>
          <w:rFonts w:hint="eastAsia"/>
        </w:rPr>
        <w:t>：对新技术新应用的网络安全问题的关注度</w:t>
      </w:r>
      <w:r>
        <w:tab/>
      </w:r>
      <w:r>
        <w:fldChar w:fldCharType="end"/>
      </w:r>
    </w:p>
    <w:p>
      <w:pPr>
        <w:pStyle w:val="12"/>
        <w:tabs>
          <w:tab w:val="right" w:leader="dot" w:pos="8312"/>
        </w:tabs>
        <w:ind w:left="960" w:hanging="480"/>
      </w:pPr>
      <w:r>
        <w:fldChar w:fldCharType="begin"/>
      </w:r>
      <w:r>
        <w:instrText xml:space="preserve"> HYPERLINK \l "_Toc21549" </w:instrText>
      </w:r>
      <w:r>
        <w:fldChar w:fldCharType="separate"/>
      </w:r>
      <w:r>
        <w:rPr>
          <w:rFonts w:hint="eastAsia"/>
        </w:rPr>
        <w:t xml:space="preserve">图表 </w:t>
      </w:r>
      <w:r>
        <w:t xml:space="preserve">62 </w:t>
      </w:r>
      <w:r>
        <w:rPr>
          <w:rFonts w:hint="eastAsia"/>
        </w:rPr>
        <w:t>：从业人员5G网络使用率</w:t>
      </w:r>
      <w:r>
        <w:tab/>
      </w:r>
      <w:r>
        <w:fldChar w:fldCharType="end"/>
      </w:r>
    </w:p>
    <w:p>
      <w:pPr>
        <w:pStyle w:val="12"/>
        <w:tabs>
          <w:tab w:val="right" w:leader="dot" w:pos="8312"/>
        </w:tabs>
        <w:ind w:left="960" w:hanging="480"/>
      </w:pPr>
      <w:r>
        <w:fldChar w:fldCharType="begin"/>
      </w:r>
      <w:r>
        <w:instrText xml:space="preserve"> HYPERLINK \l "_Toc1581" </w:instrText>
      </w:r>
      <w:r>
        <w:fldChar w:fldCharType="separate"/>
      </w:r>
      <w:r>
        <w:rPr>
          <w:rFonts w:hint="eastAsia"/>
        </w:rPr>
        <w:t xml:space="preserve">图表 </w:t>
      </w:r>
      <w:r>
        <w:t xml:space="preserve">63 </w:t>
      </w:r>
      <w:r>
        <w:rPr>
          <w:rFonts w:hint="eastAsia"/>
        </w:rPr>
        <w:t>：对5G网络使用体验的评价</w:t>
      </w:r>
      <w:r>
        <w:tab/>
      </w:r>
      <w:r>
        <w:fldChar w:fldCharType="end"/>
      </w:r>
    </w:p>
    <w:p>
      <w:pPr>
        <w:pStyle w:val="12"/>
        <w:tabs>
          <w:tab w:val="right" w:leader="dot" w:pos="8312"/>
        </w:tabs>
        <w:ind w:left="960" w:hanging="480"/>
      </w:pPr>
      <w:r>
        <w:fldChar w:fldCharType="begin"/>
      </w:r>
      <w:r>
        <w:instrText xml:space="preserve"> HYPERLINK \l "_Toc15841" </w:instrText>
      </w:r>
      <w:r>
        <w:fldChar w:fldCharType="separate"/>
      </w:r>
      <w:r>
        <w:rPr>
          <w:rFonts w:hint="eastAsia"/>
        </w:rPr>
        <w:t xml:space="preserve">图表 </w:t>
      </w:r>
      <w:r>
        <w:t xml:space="preserve">64 </w:t>
      </w:r>
      <w:r>
        <w:rPr>
          <w:rFonts w:hint="eastAsia"/>
        </w:rPr>
        <w:t>：目前不使用5G网络的原因</w:t>
      </w:r>
      <w:r>
        <w:tab/>
      </w:r>
      <w:r>
        <w:fldChar w:fldCharType="end"/>
      </w:r>
    </w:p>
    <w:p>
      <w:pPr>
        <w:pStyle w:val="12"/>
        <w:tabs>
          <w:tab w:val="right" w:leader="dot" w:pos="8312"/>
        </w:tabs>
        <w:ind w:left="960" w:hanging="480"/>
      </w:pPr>
      <w:r>
        <w:fldChar w:fldCharType="begin"/>
      </w:r>
      <w:r>
        <w:instrText xml:space="preserve"> HYPERLINK \l "_Toc11586" </w:instrText>
      </w:r>
      <w:r>
        <w:fldChar w:fldCharType="separate"/>
      </w:r>
      <w:r>
        <w:rPr>
          <w:rFonts w:hint="eastAsia"/>
        </w:rPr>
        <w:t xml:space="preserve">图表 </w:t>
      </w:r>
      <w:r>
        <w:t xml:space="preserve">65 </w:t>
      </w:r>
      <w:r>
        <w:rPr>
          <w:rFonts w:hint="eastAsia"/>
        </w:rPr>
        <w:t>：对5G技术的顾虑</w:t>
      </w:r>
      <w:r>
        <w:tab/>
      </w:r>
      <w:r>
        <w:fldChar w:fldCharType="end"/>
      </w:r>
    </w:p>
    <w:p>
      <w:pPr>
        <w:pStyle w:val="12"/>
        <w:tabs>
          <w:tab w:val="right" w:leader="dot" w:pos="8312"/>
        </w:tabs>
        <w:ind w:left="960" w:hanging="480"/>
      </w:pPr>
      <w:r>
        <w:fldChar w:fldCharType="begin"/>
      </w:r>
      <w:r>
        <w:instrText xml:space="preserve"> HYPERLINK \l "_Toc27785" </w:instrText>
      </w:r>
      <w:r>
        <w:fldChar w:fldCharType="separate"/>
      </w:r>
      <w:r>
        <w:rPr>
          <w:rFonts w:hint="eastAsia"/>
        </w:rPr>
        <w:t xml:space="preserve">图表 </w:t>
      </w:r>
      <w:r>
        <w:t xml:space="preserve">66 </w:t>
      </w:r>
      <w:r>
        <w:rPr>
          <w:rFonts w:hint="eastAsia"/>
        </w:rPr>
        <w:t>：人工智能(AI)可以发挥优势的领域</w:t>
      </w:r>
      <w:r>
        <w:tab/>
      </w:r>
      <w:r>
        <w:fldChar w:fldCharType="end"/>
      </w:r>
    </w:p>
    <w:p>
      <w:pPr>
        <w:pStyle w:val="12"/>
        <w:tabs>
          <w:tab w:val="right" w:leader="dot" w:pos="8312"/>
        </w:tabs>
        <w:ind w:left="960" w:hanging="480"/>
      </w:pPr>
      <w:r>
        <w:fldChar w:fldCharType="begin"/>
      </w:r>
      <w:r>
        <w:instrText xml:space="preserve"> HYPERLINK \l "_Toc28464" </w:instrText>
      </w:r>
      <w:r>
        <w:fldChar w:fldCharType="separate"/>
      </w:r>
      <w:r>
        <w:rPr>
          <w:rFonts w:hint="eastAsia"/>
        </w:rPr>
        <w:t xml:space="preserve">图表 </w:t>
      </w:r>
      <w:r>
        <w:t xml:space="preserve">67 </w:t>
      </w:r>
      <w:r>
        <w:rPr>
          <w:rFonts w:hint="eastAsia"/>
        </w:rPr>
        <w:t>：目前人工智能应用的发展面临的最大阻力</w:t>
      </w:r>
      <w:r>
        <w:tab/>
      </w:r>
      <w:r>
        <w:fldChar w:fldCharType="end"/>
      </w:r>
    </w:p>
    <w:p>
      <w:pPr>
        <w:pStyle w:val="12"/>
        <w:tabs>
          <w:tab w:val="right" w:leader="dot" w:pos="8312"/>
        </w:tabs>
        <w:ind w:left="960" w:hanging="480"/>
      </w:pPr>
      <w:r>
        <w:fldChar w:fldCharType="begin"/>
      </w:r>
      <w:r>
        <w:instrText xml:space="preserve"> HYPERLINK \l "_Toc23784" </w:instrText>
      </w:r>
      <w:r>
        <w:fldChar w:fldCharType="separate"/>
      </w:r>
      <w:r>
        <w:rPr>
          <w:rFonts w:hint="eastAsia"/>
        </w:rPr>
        <w:t xml:space="preserve">图表 </w:t>
      </w:r>
      <w:r>
        <w:t xml:space="preserve">68 </w:t>
      </w:r>
      <w:r>
        <w:rPr>
          <w:rFonts w:hint="eastAsia"/>
        </w:rPr>
        <w:t>：对“AI换脸”应用等“深度伪造”为代表的新技术新应用的看法</w:t>
      </w:r>
      <w:r>
        <w:tab/>
      </w:r>
      <w:r>
        <w:fldChar w:fldCharType="end"/>
      </w:r>
    </w:p>
    <w:p>
      <w:pPr>
        <w:pStyle w:val="12"/>
        <w:tabs>
          <w:tab w:val="right" w:leader="dot" w:pos="8312"/>
        </w:tabs>
        <w:ind w:left="960" w:hanging="480"/>
      </w:pPr>
      <w:r>
        <w:fldChar w:fldCharType="begin"/>
      </w:r>
      <w:r>
        <w:instrText xml:space="preserve"> HYPERLINK \l "_Toc13951" </w:instrText>
      </w:r>
      <w:r>
        <w:fldChar w:fldCharType="separate"/>
      </w:r>
      <w:r>
        <w:rPr>
          <w:rFonts w:hint="eastAsia"/>
        </w:rPr>
        <w:t xml:space="preserve">图表 </w:t>
      </w:r>
      <w:r>
        <w:t xml:space="preserve">69 </w:t>
      </w:r>
      <w:r>
        <w:rPr>
          <w:rFonts w:hint="eastAsia"/>
        </w:rPr>
        <w:t>：对区块链的了解程度</w:t>
      </w:r>
      <w:r>
        <w:tab/>
      </w:r>
      <w:r>
        <w:fldChar w:fldCharType="end"/>
      </w:r>
    </w:p>
    <w:p>
      <w:pPr>
        <w:pStyle w:val="12"/>
        <w:tabs>
          <w:tab w:val="right" w:leader="dot" w:pos="8312"/>
        </w:tabs>
        <w:ind w:left="960" w:hanging="480"/>
      </w:pPr>
      <w:r>
        <w:fldChar w:fldCharType="begin"/>
      </w:r>
      <w:r>
        <w:instrText xml:space="preserve"> HYPERLINK \l "_Toc31881" </w:instrText>
      </w:r>
      <w:r>
        <w:fldChar w:fldCharType="separate"/>
      </w:r>
      <w:r>
        <w:rPr>
          <w:rFonts w:hint="eastAsia"/>
        </w:rPr>
        <w:t xml:space="preserve">图表 </w:t>
      </w:r>
      <w:r>
        <w:t xml:space="preserve">70 </w:t>
      </w:r>
      <w:r>
        <w:rPr>
          <w:rFonts w:hint="eastAsia"/>
        </w:rPr>
        <w:t>：区块链未来发展趋势的看法</w:t>
      </w:r>
      <w:r>
        <w:tab/>
      </w:r>
      <w:r>
        <w:fldChar w:fldCharType="end"/>
      </w:r>
    </w:p>
    <w:p>
      <w:pPr>
        <w:pStyle w:val="12"/>
        <w:tabs>
          <w:tab w:val="right" w:leader="dot" w:pos="8312"/>
        </w:tabs>
        <w:ind w:left="960" w:hanging="480"/>
      </w:pPr>
      <w:r>
        <w:fldChar w:fldCharType="begin"/>
      </w:r>
      <w:r>
        <w:instrText xml:space="preserve"> HYPERLINK \l "_Toc17601" </w:instrText>
      </w:r>
      <w:r>
        <w:fldChar w:fldCharType="separate"/>
      </w:r>
      <w:r>
        <w:rPr>
          <w:rFonts w:hint="eastAsia"/>
        </w:rPr>
        <w:t xml:space="preserve">图表 </w:t>
      </w:r>
      <w:r>
        <w:t xml:space="preserve">71 </w:t>
      </w:r>
      <w:r>
        <w:rPr>
          <w:rFonts w:hint="eastAsia"/>
        </w:rPr>
        <w:t>：所在单位大数据技术应用情况</w:t>
      </w:r>
      <w:r>
        <w:tab/>
      </w:r>
      <w:r>
        <w:fldChar w:fldCharType="end"/>
      </w:r>
    </w:p>
    <w:p>
      <w:pPr>
        <w:pStyle w:val="12"/>
        <w:tabs>
          <w:tab w:val="right" w:leader="dot" w:pos="8312"/>
        </w:tabs>
        <w:ind w:left="960" w:hanging="480"/>
      </w:pPr>
      <w:r>
        <w:fldChar w:fldCharType="begin"/>
      </w:r>
      <w:r>
        <w:instrText xml:space="preserve"> HYPERLINK \l "_Toc2022" </w:instrText>
      </w:r>
      <w:r>
        <w:fldChar w:fldCharType="separate"/>
      </w:r>
      <w:r>
        <w:rPr>
          <w:rFonts w:hint="eastAsia"/>
        </w:rPr>
        <w:t xml:space="preserve">图表 </w:t>
      </w:r>
      <w:r>
        <w:t xml:space="preserve">72 </w:t>
      </w:r>
      <w:r>
        <w:rPr>
          <w:rFonts w:hint="eastAsia"/>
        </w:rPr>
        <w:t>：目前大数据技术应用存在的问题</w:t>
      </w:r>
      <w:r>
        <w:tab/>
      </w:r>
      <w:r>
        <w:fldChar w:fldCharType="end"/>
      </w:r>
    </w:p>
    <w:p>
      <w:pPr>
        <w:pStyle w:val="12"/>
        <w:tabs>
          <w:tab w:val="right" w:leader="dot" w:pos="8312"/>
        </w:tabs>
        <w:ind w:left="960" w:hanging="480"/>
      </w:pPr>
      <w:r>
        <w:fldChar w:fldCharType="begin"/>
      </w:r>
      <w:r>
        <w:instrText xml:space="preserve"> HYPERLINK \l "_Toc922" </w:instrText>
      </w:r>
      <w:r>
        <w:fldChar w:fldCharType="separate"/>
      </w:r>
      <w:r>
        <w:rPr>
          <w:rFonts w:hint="eastAsia"/>
        </w:rPr>
        <w:t xml:space="preserve">图表 </w:t>
      </w:r>
      <w:r>
        <w:t xml:space="preserve">73 </w:t>
      </w:r>
      <w:r>
        <w:rPr>
          <w:rFonts w:hint="eastAsia"/>
        </w:rPr>
        <w:t>：体验过物联网应用的领域</w:t>
      </w:r>
      <w:r>
        <w:tab/>
      </w:r>
      <w:r>
        <w:fldChar w:fldCharType="end"/>
      </w:r>
    </w:p>
    <w:p>
      <w:pPr>
        <w:pStyle w:val="12"/>
        <w:tabs>
          <w:tab w:val="right" w:leader="dot" w:pos="8312"/>
        </w:tabs>
        <w:ind w:left="960" w:hanging="480"/>
      </w:pPr>
      <w:r>
        <w:fldChar w:fldCharType="begin"/>
      </w:r>
      <w:r>
        <w:instrText xml:space="preserve"> HYPERLINK \l "_Toc30710" </w:instrText>
      </w:r>
      <w:r>
        <w:fldChar w:fldCharType="separate"/>
      </w:r>
      <w:r>
        <w:rPr>
          <w:rFonts w:hint="eastAsia"/>
        </w:rPr>
        <w:t xml:space="preserve">图表 </w:t>
      </w:r>
      <w:r>
        <w:t xml:space="preserve">74 </w:t>
      </w:r>
      <w:r>
        <w:rPr>
          <w:rFonts w:hint="eastAsia"/>
        </w:rPr>
        <w:t>：物联网安全风险</w:t>
      </w:r>
      <w:r>
        <w:tab/>
      </w:r>
      <w:r>
        <w:fldChar w:fldCharType="end"/>
      </w:r>
    </w:p>
    <w:p>
      <w:pPr>
        <w:pStyle w:val="12"/>
        <w:tabs>
          <w:tab w:val="right" w:leader="dot" w:pos="8312"/>
        </w:tabs>
        <w:ind w:left="960" w:hanging="480"/>
      </w:pPr>
      <w:r>
        <w:fldChar w:fldCharType="begin"/>
      </w:r>
      <w:r>
        <w:instrText xml:space="preserve"> HYPERLINK \l "_Toc1772" </w:instrText>
      </w:r>
      <w:r>
        <w:fldChar w:fldCharType="separate"/>
      </w:r>
      <w:r>
        <w:rPr>
          <w:rFonts w:hint="eastAsia"/>
        </w:rPr>
        <w:t xml:space="preserve">图表 </w:t>
      </w:r>
      <w:r>
        <w:t xml:space="preserve">75 </w:t>
      </w:r>
      <w:r>
        <w:rPr>
          <w:rFonts w:hint="eastAsia"/>
        </w:rPr>
        <w:t>：数字政府和智慧城市的网络安全状况评价</w:t>
      </w:r>
      <w:r>
        <w:tab/>
      </w:r>
      <w:r>
        <w:fldChar w:fldCharType="end"/>
      </w:r>
    </w:p>
    <w:p>
      <w:pPr>
        <w:pStyle w:val="12"/>
        <w:tabs>
          <w:tab w:val="right" w:leader="dot" w:pos="8312"/>
        </w:tabs>
        <w:ind w:left="960" w:hanging="480"/>
      </w:pPr>
      <w:r>
        <w:fldChar w:fldCharType="begin"/>
      </w:r>
      <w:r>
        <w:instrText xml:space="preserve"> HYPERLINK \l "_Toc27582" </w:instrText>
      </w:r>
      <w:r>
        <w:fldChar w:fldCharType="separate"/>
      </w:r>
      <w:r>
        <w:rPr>
          <w:rFonts w:hint="eastAsia"/>
        </w:rPr>
        <w:t xml:space="preserve">图表 </w:t>
      </w:r>
      <w:r>
        <w:t xml:space="preserve">76 </w:t>
      </w:r>
      <w:r>
        <w:rPr>
          <w:rFonts w:hint="eastAsia"/>
        </w:rPr>
        <w:t>：数字政府和智慧城市中新技术的应用效果评价</w:t>
      </w:r>
      <w:r>
        <w:tab/>
      </w:r>
      <w:r>
        <w:fldChar w:fldCharType="end"/>
      </w:r>
    </w:p>
    <w:p>
      <w:pPr>
        <w:pStyle w:val="12"/>
        <w:tabs>
          <w:tab w:val="right" w:leader="dot" w:pos="8312"/>
        </w:tabs>
        <w:ind w:left="960" w:hanging="480"/>
      </w:pPr>
      <w:r>
        <w:fldChar w:fldCharType="begin"/>
      </w:r>
      <w:r>
        <w:instrText xml:space="preserve"> HYPERLINK \l "_Toc13062" </w:instrText>
      </w:r>
      <w:r>
        <w:fldChar w:fldCharType="separate"/>
      </w:r>
      <w:r>
        <w:t xml:space="preserve">图表 77 </w:t>
      </w:r>
      <w:r>
        <w:rPr>
          <w:rFonts w:hint="eastAsia"/>
        </w:rPr>
        <w:t>：加强新技术应用的网络安全保障的建议</w:t>
      </w:r>
      <w:r>
        <w:tab/>
      </w:r>
      <w:r>
        <w:fldChar w:fldCharType="end"/>
      </w:r>
    </w:p>
    <w:p>
      <w:pPr>
        <w:pStyle w:val="12"/>
        <w:tabs>
          <w:tab w:val="right" w:leader="dot" w:pos="8312"/>
        </w:tabs>
        <w:ind w:left="960" w:hanging="480"/>
      </w:pPr>
      <w:r>
        <w:fldChar w:fldCharType="begin"/>
      </w:r>
      <w:r>
        <w:instrText xml:space="preserve"> HYPERLINK \l "_Toc8229" </w:instrText>
      </w:r>
      <w:r>
        <w:fldChar w:fldCharType="separate"/>
      </w:r>
      <w:r>
        <w:rPr>
          <w:rFonts w:hint="eastAsia"/>
        </w:rPr>
        <w:t xml:space="preserve">图表 </w:t>
      </w:r>
      <w:r>
        <w:t xml:space="preserve">78 </w:t>
      </w:r>
      <w:r>
        <w:rPr>
          <w:rFonts w:hint="eastAsia"/>
        </w:rPr>
        <w:t>：所在单位网络安全科研经费预算情况</w:t>
      </w:r>
      <w:r>
        <w:tab/>
      </w:r>
      <w:r>
        <w:fldChar w:fldCharType="end"/>
      </w:r>
    </w:p>
    <w:p>
      <w:pPr>
        <w:pStyle w:val="12"/>
        <w:tabs>
          <w:tab w:val="right" w:leader="dot" w:pos="8312"/>
        </w:tabs>
        <w:ind w:left="960" w:hanging="480"/>
      </w:pPr>
      <w:r>
        <w:fldChar w:fldCharType="begin"/>
      </w:r>
      <w:r>
        <w:instrText xml:space="preserve"> HYPERLINK \l "_Toc4888" </w:instrText>
      </w:r>
      <w:r>
        <w:fldChar w:fldCharType="separate"/>
      </w:r>
      <w:r>
        <w:rPr>
          <w:rFonts w:hint="eastAsia"/>
        </w:rPr>
        <w:t xml:space="preserve">图表 </w:t>
      </w:r>
      <w:r>
        <w:t xml:space="preserve">79 </w:t>
      </w:r>
      <w:r>
        <w:rPr>
          <w:rFonts w:hint="eastAsia"/>
        </w:rPr>
        <w:t>：疫情冲击对本单位网络安全资金投入的影响</w:t>
      </w:r>
      <w:r>
        <w:tab/>
      </w:r>
      <w:r>
        <w:fldChar w:fldCharType="end"/>
      </w:r>
    </w:p>
    <w:p>
      <w:pPr>
        <w:pStyle w:val="12"/>
        <w:tabs>
          <w:tab w:val="right" w:leader="dot" w:pos="8312"/>
        </w:tabs>
        <w:ind w:left="960" w:hanging="480"/>
      </w:pPr>
      <w:r>
        <w:fldChar w:fldCharType="begin"/>
      </w:r>
      <w:r>
        <w:instrText xml:space="preserve"> HYPERLINK \l "_Toc6659" </w:instrText>
      </w:r>
      <w:r>
        <w:fldChar w:fldCharType="separate"/>
      </w:r>
      <w:r>
        <w:rPr>
          <w:rFonts w:hint="eastAsia"/>
        </w:rPr>
        <w:t xml:space="preserve">图表 </w:t>
      </w:r>
      <w:r>
        <w:t xml:space="preserve">80 </w:t>
      </w:r>
      <w:r>
        <w:rPr>
          <w:rFonts w:hint="eastAsia"/>
        </w:rPr>
        <w:t>：网络安全科研课题立项和管理方面的满意度</w:t>
      </w:r>
      <w:r>
        <w:tab/>
      </w:r>
      <w:r>
        <w:fldChar w:fldCharType="end"/>
      </w:r>
    </w:p>
    <w:p>
      <w:pPr>
        <w:pStyle w:val="12"/>
        <w:tabs>
          <w:tab w:val="right" w:leader="dot" w:pos="8312"/>
        </w:tabs>
        <w:ind w:left="960" w:hanging="480"/>
      </w:pPr>
      <w:r>
        <w:fldChar w:fldCharType="begin"/>
      </w:r>
      <w:r>
        <w:instrText xml:space="preserve"> HYPERLINK \l "_Toc29674" </w:instrText>
      </w:r>
      <w:r>
        <w:fldChar w:fldCharType="separate"/>
      </w:r>
      <w:r>
        <w:rPr>
          <w:rFonts w:hint="eastAsia"/>
        </w:rPr>
        <w:t xml:space="preserve">图表 </w:t>
      </w:r>
      <w:r>
        <w:t xml:space="preserve">81 </w:t>
      </w:r>
      <w:r>
        <w:rPr>
          <w:rFonts w:hint="eastAsia"/>
        </w:rPr>
        <w:t>：网络安全科研工作需要改善的地方</w:t>
      </w:r>
      <w:r>
        <w:tab/>
      </w:r>
      <w:r>
        <w:fldChar w:fldCharType="end"/>
      </w:r>
    </w:p>
    <w:p>
      <w:pPr>
        <w:pStyle w:val="12"/>
        <w:tabs>
          <w:tab w:val="right" w:leader="dot" w:pos="8312"/>
        </w:tabs>
        <w:ind w:left="960" w:hanging="480"/>
      </w:pPr>
      <w:r>
        <w:fldChar w:fldCharType="begin"/>
      </w:r>
      <w:r>
        <w:instrText xml:space="preserve"> HYPERLINK \l "_Toc13947" </w:instrText>
      </w:r>
      <w:r>
        <w:fldChar w:fldCharType="separate"/>
      </w:r>
      <w:r>
        <w:rPr>
          <w:rFonts w:hint="eastAsia"/>
        </w:rPr>
        <w:t xml:space="preserve">图表 </w:t>
      </w:r>
      <w:r>
        <w:t xml:space="preserve">82 </w:t>
      </w:r>
      <w:r>
        <w:rPr>
          <w:rFonts w:hint="eastAsia"/>
        </w:rPr>
        <w:t>：网络安全方面的科研成果转化满意度评价</w:t>
      </w:r>
      <w:r>
        <w:tab/>
      </w:r>
      <w:r>
        <w:fldChar w:fldCharType="end"/>
      </w:r>
    </w:p>
    <w:p>
      <w:pPr>
        <w:pStyle w:val="12"/>
        <w:tabs>
          <w:tab w:val="right" w:leader="dot" w:pos="8312"/>
        </w:tabs>
        <w:ind w:left="960" w:hanging="480"/>
      </w:pPr>
      <w:r>
        <w:fldChar w:fldCharType="begin"/>
      </w:r>
      <w:r>
        <w:instrText xml:space="preserve"> HYPERLINK \l "_Toc5838" </w:instrText>
      </w:r>
      <w:r>
        <w:fldChar w:fldCharType="separate"/>
      </w:r>
      <w:r>
        <w:rPr>
          <w:rFonts w:hint="eastAsia"/>
        </w:rPr>
        <w:t xml:space="preserve">图表 </w:t>
      </w:r>
      <w:r>
        <w:t xml:space="preserve">83 </w:t>
      </w:r>
      <w:r>
        <w:rPr>
          <w:rFonts w:hint="eastAsia"/>
        </w:rPr>
        <w:t>：网络安全科研成果转化感到不满意的地方</w:t>
      </w:r>
      <w:r>
        <w:tab/>
      </w:r>
      <w:r>
        <w:fldChar w:fldCharType="end"/>
      </w:r>
    </w:p>
    <w:p>
      <w:pPr>
        <w:pStyle w:val="12"/>
        <w:tabs>
          <w:tab w:val="right" w:leader="dot" w:pos="8312"/>
        </w:tabs>
        <w:ind w:left="960" w:hanging="480"/>
      </w:pPr>
      <w:r>
        <w:fldChar w:fldCharType="begin"/>
      </w:r>
      <w:r>
        <w:instrText xml:space="preserve"> HYPERLINK \l "_Toc5515" </w:instrText>
      </w:r>
      <w:r>
        <w:fldChar w:fldCharType="separate"/>
      </w:r>
      <w:r>
        <w:rPr>
          <w:rFonts w:hint="eastAsia"/>
        </w:rPr>
        <w:t xml:space="preserve">图表 </w:t>
      </w:r>
      <w:r>
        <w:t xml:space="preserve">84 </w:t>
      </w:r>
      <w:r>
        <w:rPr>
          <w:rFonts w:hint="eastAsia"/>
        </w:rPr>
        <w:t>：所在单位有关网络安全的课程开设情况</w:t>
      </w:r>
      <w:r>
        <w:tab/>
      </w:r>
      <w:r>
        <w:fldChar w:fldCharType="end"/>
      </w:r>
    </w:p>
    <w:p>
      <w:pPr>
        <w:pStyle w:val="12"/>
        <w:tabs>
          <w:tab w:val="right" w:leader="dot" w:pos="8312"/>
        </w:tabs>
        <w:ind w:left="960" w:hanging="480"/>
      </w:pPr>
      <w:r>
        <w:fldChar w:fldCharType="begin"/>
      </w:r>
      <w:r>
        <w:instrText xml:space="preserve"> HYPERLINK \l "_Toc4308" </w:instrText>
      </w:r>
      <w:r>
        <w:fldChar w:fldCharType="separate"/>
      </w:r>
      <w:r>
        <w:rPr>
          <w:rFonts w:hint="eastAsia"/>
        </w:rPr>
        <w:t xml:space="preserve">图表 </w:t>
      </w:r>
      <w:r>
        <w:t xml:space="preserve">85 </w:t>
      </w:r>
      <w:r>
        <w:rPr>
          <w:rFonts w:hint="eastAsia"/>
        </w:rPr>
        <w:t>：网络安全专业人才评价和队伍建设存在的问题</w:t>
      </w:r>
      <w:r>
        <w:tab/>
      </w:r>
      <w:r>
        <w:fldChar w:fldCharType="end"/>
      </w:r>
    </w:p>
    <w:p>
      <w:pPr>
        <w:sectPr>
          <w:footerReference r:id="rId9" w:type="default"/>
          <w:pgSz w:w="11906" w:h="16838"/>
          <w:pgMar w:top="1440" w:right="1797" w:bottom="1440" w:left="1797" w:header="709" w:footer="709" w:gutter="0"/>
          <w:pgNumType w:fmt="lowerRoman" w:start="1"/>
          <w:cols w:space="708" w:num="1"/>
          <w:docGrid w:linePitch="360" w:charSpace="0"/>
        </w:sectPr>
      </w:pPr>
    </w:p>
    <w:p>
      <w:r>
        <w:fldChar w:fldCharType="end"/>
      </w:r>
    </w:p>
    <w:bookmarkEnd w:id="30"/>
    <w:p>
      <w:pPr>
        <w:pStyle w:val="2"/>
      </w:pPr>
      <w:bookmarkStart w:id="31" w:name="_Toc48913641"/>
      <w:bookmarkStart w:id="32" w:name="_Toc19702"/>
      <w:bookmarkStart w:id="33" w:name="_Toc3630"/>
      <w:r>
        <w:rPr>
          <w:rFonts w:hint="eastAsia"/>
        </w:rPr>
        <w:t>一、前言</w:t>
      </w:r>
      <w:bookmarkEnd w:id="31"/>
      <w:bookmarkEnd w:id="32"/>
      <w:bookmarkEnd w:id="33"/>
    </w:p>
    <w:p>
      <w:r>
        <w:rPr>
          <w:rFonts w:hint="eastAsia"/>
        </w:rPr>
        <w:t>随着网络信息</w:t>
      </w:r>
      <w:r>
        <w:t>社会发展</w:t>
      </w:r>
      <w:r>
        <w:rPr>
          <w:rFonts w:hint="eastAsia"/>
        </w:rPr>
        <w:t>，</w:t>
      </w:r>
      <w:r>
        <w:t>互联网已与人民群众日常生活密不可分。</w:t>
      </w:r>
      <w:r>
        <w:rPr>
          <w:rFonts w:hint="eastAsia"/>
        </w:rPr>
        <w:t>网络</w:t>
      </w:r>
      <w:r>
        <w:t>在提供各种生活便利和沟通便捷的同时，</w:t>
      </w:r>
      <w:r>
        <w:rPr>
          <w:rFonts w:hint="eastAsia"/>
        </w:rPr>
        <w:t>网络威胁也在增长：</w:t>
      </w:r>
      <w:r>
        <w:t>网络攻击、病毒传播、垃圾邮件等</w:t>
      </w:r>
      <w:r>
        <w:rPr>
          <w:rFonts w:hint="eastAsia"/>
        </w:rPr>
        <w:t>屡见不鲜</w:t>
      </w:r>
      <w:r>
        <w:t>；利用网络进行诈骗、盗窃、敲诈勒 索、窃密等案件逐年上升，严重影响网络的正常秩序，损害网民权益；网上色情、暴力等不良和有害 信息的传播，也正在严重危害青少年的身心健康。如何有效开展网络安全社会治理、保障广大人民群 众上网用网安全，日益成为社会广泛关注的重大问题。 开展网络安全</w:t>
      </w:r>
      <w:r>
        <w:rPr>
          <w:rFonts w:hint="eastAsia"/>
        </w:rPr>
        <w:t>感</w:t>
      </w:r>
      <w:r>
        <w:t>满意度调查，旨在进一步贯彻习近平总书记</w:t>
      </w:r>
      <w:r>
        <w:rPr>
          <w:rFonts w:hint="eastAsia"/>
        </w:rPr>
        <w:t>有关“网络安全为人民，网络安全靠人民”和</w:t>
      </w:r>
      <w:r>
        <w:t>网络强国的重要思想，切实落实《网络安全法》及相关法律法规，增强网民的网络安全意识和防范能力，促进互联网企业履行社会责任，提升网民网络安全感和满意度，最大限度调动网民参与网络生态治理的自觉性和主动性，助力政府相关部门积极探索网络治理规律，提高综合</w:t>
      </w:r>
      <w:r>
        <w:rPr>
          <w:rFonts w:hint="eastAsia"/>
        </w:rPr>
        <w:t>治理</w:t>
      </w:r>
      <w:r>
        <w:t>的成效和水平。</w:t>
      </w:r>
    </w:p>
    <w:p>
      <w:r>
        <w:rPr>
          <w:rFonts w:hint="eastAsia"/>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r>
        <w:rPr>
          <w:rFonts w:hint="eastAsia"/>
        </w:rPr>
        <w:t>为充分发挥网络安全社会组织在网络空间建设中的作用，切实履行网络社会组织治理中的责任，全面提升社会组织服务国家及地方政府网络安全建设水平，促进全国网络安全事业的发展，从2018年开始由全国多家网络安全社会组织联合发起了每年一度的全国网民网络安全感满意度调查活动，调查活动及其报告引起社会巨大反响。</w:t>
      </w:r>
    </w:p>
    <w:p>
      <w:r>
        <w:rPr>
          <w:rFonts w:hint="eastAsia"/>
        </w:rPr>
        <w:t>20</w:t>
      </w:r>
      <w:r>
        <w:t>20</w:t>
      </w:r>
      <w:r>
        <w:rPr>
          <w:rFonts w:hint="eastAsia"/>
        </w:rPr>
        <w:t>年度全国网民网络安全感满意度调查活动在抗击新冠疫情取得阶段性胜利和国际形势跌宕起伏，复杂多变的背景下进行，具有特别的意义。本年度调查活动由全国135家网络安全社会组织联合发起，公安部网络安全保卫局作为指导单位对活动给予大力的支持。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2020年6月，以</w:t>
      </w:r>
      <w:bookmarkStart w:id="34" w:name="_Hlk50904262"/>
      <w:r>
        <w:rPr>
          <w:rFonts w:hint="eastAsia"/>
        </w:rPr>
        <w:t>“网络安全为人民，网络安全靠人民”</w:t>
      </w:r>
      <w:bookmarkEnd w:id="34"/>
      <w:r>
        <w:rPr>
          <w:rFonts w:hint="eastAsia"/>
        </w:rPr>
        <w:t xml:space="preserve">为活动主题的2020网民网络安全感满意度调查活动正式启动，7月22日上午9时活动正式对外采集数据，全国各大网络平台同步开通线上采集通道，至7月31日24时结束。 </w:t>
      </w:r>
    </w:p>
    <w:p>
      <w:r>
        <w:rPr>
          <w:rFonts w:hint="eastAsia"/>
        </w:rPr>
        <w:t> 本次调查活动问卷收回总量为150.3</w:t>
      </w:r>
      <w:r>
        <w:t>168</w:t>
      </w:r>
      <w:r>
        <w:rPr>
          <w:rFonts w:hint="eastAsia"/>
        </w:rPr>
        <w:t>万份，其中，公众网民版</w:t>
      </w:r>
      <w:bookmarkStart w:id="35" w:name="_Hlk48137665"/>
      <w:r>
        <w:t>124.325</w:t>
      </w:r>
      <w:bookmarkEnd w:id="35"/>
      <w:r>
        <w:t>1</w:t>
      </w:r>
      <w:r>
        <w:rPr>
          <w:rFonts w:hint="eastAsia"/>
        </w:rPr>
        <w:t>万份，网络从业人员版25.</w:t>
      </w:r>
      <w:r>
        <w:t>9912</w:t>
      </w:r>
      <w:r>
        <w:rPr>
          <w:rFonts w:hint="eastAsia"/>
        </w:rPr>
        <w:t>万份。经过数据清洗后，有效样本数据总数为149.0304万份，其中，公众网民版</w:t>
      </w:r>
      <w:r>
        <w:t>123.1455</w:t>
      </w:r>
      <w:r>
        <w:rPr>
          <w:rFonts w:hint="eastAsia"/>
        </w:rPr>
        <w:t>万份，网络从业人员版25.884</w:t>
      </w:r>
      <w:r>
        <w:t>9</w:t>
      </w:r>
      <w:r>
        <w:rPr>
          <w:rFonts w:hint="eastAsia"/>
        </w:rPr>
        <w:t>万份。另外，调查活动还收集了网民对我国网络安全建设提出的意见和建议共</w:t>
      </w:r>
      <w:r>
        <w:t>16.4347</w:t>
      </w:r>
      <w:r>
        <w:rPr>
          <w:rFonts w:hint="eastAsia"/>
        </w:rPr>
        <w:t>万条。</w:t>
      </w:r>
    </w:p>
    <w:p>
      <w:r>
        <w:rPr>
          <w:rFonts w:hint="eastAsia"/>
        </w:rPr>
        <w:t>本报告是基于2020年度网民网络安全感满意度调查活动收集回来的有效问卷数据，经过整理、统计、分析后编写形成的。报告力求全面、客观地反映网民的网络安全感和满意度的感受，为有关各方提供参考。</w:t>
      </w:r>
    </w:p>
    <w:p>
      <w:r>
        <w:rPr>
          <w:rFonts w:hint="eastAsia"/>
        </w:rPr>
        <w:t>2020网民网络安全感满意度调查全国从业人员版数据统计报告，是针对网络行业从业人员进行调查收回的有效问卷数据统计结果。网络行业从业人员指网络行业的工作人员，其工作单位或工作岗位和网络有关，包括互联网企业、网络安全产品与服务的提供者、网络安全协会、政府主管部门、企事业单位、网络安全的学校和科研机构、一般互联网用户等。网络行业从业人员本身对互联网的状态比较了解，是网络安全治理中主要的参与者、服务提供者和服务利用者。他们的意见体现了网络安全治理中各类主要利益群体和行业内专业人士的观点。</w:t>
      </w:r>
    </w:p>
    <w:p>
      <w:r>
        <w:rPr>
          <w:rFonts w:hint="eastAsia"/>
        </w:rPr>
        <w:t>从业人员版的调查问卷除了以共性问题为主的主问卷外，还根据内容主题的不同分为A到D共4个专题问卷，具体名称如下：</w:t>
      </w:r>
    </w:p>
    <w:p>
      <w:r>
        <w:rPr>
          <w:rFonts w:hint="eastAsia"/>
        </w:rPr>
        <w:t>A专题问卷：等级保护实施与企业合规专题</w:t>
      </w:r>
    </w:p>
    <w:p>
      <w:r>
        <w:rPr>
          <w:rFonts w:hint="eastAsia"/>
        </w:rPr>
        <w:t>B专题问卷：行业发展与生态建设专题</w:t>
      </w:r>
    </w:p>
    <w:p>
      <w:r>
        <w:rPr>
          <w:rFonts w:hint="eastAsia"/>
        </w:rPr>
        <w:t>C专题问卷：新技术应用与网络安全专题</w:t>
      </w:r>
    </w:p>
    <w:p>
      <w:r>
        <w:rPr>
          <w:rFonts w:hint="eastAsia"/>
        </w:rPr>
        <w:t>D专题问卷：科技创新与人才培养专题。</w:t>
      </w:r>
    </w:p>
    <w:p>
      <w:r>
        <w:rPr>
          <w:rFonts w:hint="eastAsia"/>
        </w:rPr>
        <w:t>本报告第一章为概述；第二章为主要发现；第三章为基本情况，包括受调查从业人员的基本信息；第四章为安全感和共性问题分析，主要为从业人员版调查问卷数据详细统计，包括从业人员整体网络安全感分析；第五章是专题分析，主要是A到D专题问卷内容的详细统计结果。</w:t>
      </w:r>
    </w:p>
    <w:p>
      <w:pPr>
        <w:widowControl/>
        <w:adjustRightInd/>
        <w:snapToGrid/>
        <w:spacing w:line="240" w:lineRule="auto"/>
        <w:ind w:firstLine="0" w:firstLineChars="0"/>
        <w:jc w:val="left"/>
        <w:rPr>
          <w:rFonts w:ascii="黑体" w:hAnsi="黑体" w:eastAsia="黑体"/>
          <w:b/>
          <w:bCs/>
          <w:kern w:val="44"/>
          <w:sz w:val="28"/>
          <w:szCs w:val="28"/>
        </w:rPr>
      </w:pPr>
      <w:r>
        <w:br w:type="page"/>
      </w:r>
    </w:p>
    <w:p>
      <w:pPr>
        <w:pStyle w:val="2"/>
      </w:pPr>
      <w:bookmarkStart w:id="36" w:name="_Toc19207399"/>
      <w:bookmarkStart w:id="37" w:name="_Toc6879"/>
      <w:r>
        <w:rPr>
          <w:rFonts w:hint="eastAsia"/>
        </w:rPr>
        <w:t>二、</w:t>
      </w:r>
      <w:bookmarkEnd w:id="36"/>
      <w:r>
        <w:rPr>
          <w:rFonts w:hint="eastAsia"/>
        </w:rPr>
        <w:t>主要发现</w:t>
      </w:r>
      <w:bookmarkEnd w:id="37"/>
    </w:p>
    <w:p>
      <w:bookmarkStart w:id="38" w:name="_Toc19207400"/>
      <w:r>
        <w:rPr>
          <w:rFonts w:hint="eastAsia"/>
        </w:rPr>
        <w:t>本次活动共收回重庆市从业人员版网民网络安全感满意度调查问卷有1732份，数据清洗消除无效数据后，有1627份问卷数据纳入统计，数据样本有效性为93.93%。</w:t>
      </w:r>
    </w:p>
    <w:p>
      <w:r>
        <w:rPr>
          <w:rFonts w:hint="eastAsia"/>
        </w:rPr>
        <w:t>经过对数据的整理、统计、分析后，有以下主要发现：</w:t>
      </w:r>
    </w:p>
    <w:p>
      <w:pPr>
        <w:pStyle w:val="3"/>
        <w:spacing w:before="156" w:after="156"/>
      </w:pPr>
      <w:bookmarkStart w:id="39" w:name="_Toc9663"/>
      <w:r>
        <w:rPr>
          <w:rFonts w:hint="eastAsia"/>
        </w:rPr>
        <w:t>2.1从业人员网络安全感有所提升</w:t>
      </w:r>
      <w:bookmarkEnd w:id="38"/>
      <w:bookmarkEnd w:id="39"/>
    </w:p>
    <w:p>
      <w:r>
        <w:rPr>
          <w:rFonts w:hint="eastAsia"/>
        </w:rPr>
        <w:t>（1）从横向比较来看，从业人员安全感评价和公众网民基本相符，认为非常安全的从业人员达14.07%，比公众网民高2.76个百分点，评价一般的有33.80%，比公众网民低7.01个百分点，其它指标持平，显示从业人员对网络安全的评价较普通网民为高。</w:t>
      </w:r>
    </w:p>
    <w:p>
      <w:pPr>
        <w:pStyle w:val="3"/>
        <w:spacing w:before="156" w:after="156"/>
      </w:pPr>
      <w:bookmarkStart w:id="40" w:name="_Toc19207403"/>
      <w:bookmarkStart w:id="41" w:name="_Toc32312"/>
      <w:r>
        <w:rPr>
          <w:rFonts w:hint="eastAsia"/>
        </w:rPr>
        <w:t>2.2</w:t>
      </w:r>
      <w:bookmarkEnd w:id="40"/>
      <w:r>
        <w:rPr>
          <w:rFonts w:hint="eastAsia"/>
        </w:rPr>
        <w:t>网络安全态势严峻，供应链安全风险受到关注</w:t>
      </w:r>
      <w:bookmarkEnd w:id="41"/>
    </w:p>
    <w:p>
      <w:pPr>
        <w:rPr>
          <w:b/>
        </w:rPr>
      </w:pPr>
      <w:bookmarkStart w:id="42" w:name="_Toc19207404"/>
      <w:r>
        <w:rPr>
          <w:rFonts w:hint="eastAsia"/>
        </w:rPr>
        <w:t>（2）网络安全问题和网络安全事件呈较高发生率。51.63%的从业人员在工作中最常遇到的网络安全问题是恶意网络资源（恶意IP地址、恶意域名、恶意URL、网络钓鱼等），46.22%从业人员遇到安全隐患（硬件漏洞、代码漏洞、业务逻辑漏洞、弱口令、后门等），恶意程序（勒索病毒、挖矿勒索、供应链木马、蠕虫病毒、僵尸网络等）遇到率为45.11%，安全事件（主机受控、数据泄露、网页篡改、网络监听等）遇到率为43.76%。</w:t>
      </w:r>
    </w:p>
    <w:p>
      <w:r>
        <w:rPr>
          <w:rFonts w:hint="eastAsia"/>
        </w:rPr>
        <w:t>（3）信息技术产业供应链安全威胁受到关注，56.00%从业人员认为供应链安全威胁比较高和非常高。</w:t>
      </w:r>
    </w:p>
    <w:p>
      <w:pPr>
        <w:pStyle w:val="3"/>
        <w:spacing w:before="156" w:after="156"/>
      </w:pPr>
      <w:bookmarkStart w:id="43" w:name="_Toc9648"/>
      <w:r>
        <w:rPr>
          <w:rFonts w:hint="eastAsia"/>
        </w:rPr>
        <w:t>2.3信息泄露、网络诈骗等问题仍比较突出，打击网络黑灰产业成为关注热点</w:t>
      </w:r>
      <w:bookmarkEnd w:id="43"/>
    </w:p>
    <w:p>
      <w:r>
        <w:rPr>
          <w:rFonts w:hint="eastAsia"/>
        </w:rPr>
        <w:t>（4）信息泄露、网络诈骗和网络骚扰是网络安全最突出的问题。85.68%的从业人员认为网络安全最突出或亟需治理的问题是信息泄露。网络诈骗、网络骚扰分别列2、3位，关注度达72.34%和68.59%。网络谣言与诽谤、网络赌博、网络色情、网络支付陷阱与恶意吸费关注度也比较高，分别为61.83%、55.01%、52.30%、50.09%。数据显示信息保护、打击诈骗、网络欺凌、打击涉黄涉赌等是网民主要的痛点。</w:t>
      </w:r>
    </w:p>
    <w:p>
      <w:r>
        <w:rPr>
          <w:rFonts w:hint="eastAsia"/>
        </w:rPr>
        <w:t>（5）打击网络黑灰产业要杜绝利益驱动。针对“刷流量”、“网络水军”的现象屡禁不绝的原因，74.49%的从业人员认为利益驱动，相关法律欠缺、监管力度不够、平台管理漏洞则位列2、3、4位，认同度分别位70.13%、68.72%、59.86%。</w:t>
      </w:r>
    </w:p>
    <w:p>
      <w:pPr>
        <w:pStyle w:val="3"/>
        <w:spacing w:before="120" w:beforeLines="50" w:after="120" w:afterLines="50"/>
      </w:pPr>
      <w:bookmarkStart w:id="44" w:name="_Toc2060"/>
      <w:r>
        <w:rPr>
          <w:rFonts w:hint="eastAsia"/>
        </w:rPr>
        <w:t>2.4网络安全依法治理不断完善，加强法制建设成为主要诉求</w:t>
      </w:r>
      <w:bookmarkEnd w:id="44"/>
    </w:p>
    <w:p>
      <w:r>
        <w:rPr>
          <w:rFonts w:hint="eastAsia"/>
        </w:rPr>
        <w:t>（6）网络安全法治观念得到普及，加强网络安全法制建设和加强监管力度成为共识。对于维护网络安全的最需要采取的措施方面：80.70%从业人员认为要加强网络安全法制建设，67.42%从业人员认为要强化网络安全监管，63.68%从业人员认为要严厉打击网络违法犯罪行为。</w:t>
      </w:r>
    </w:p>
    <w:p>
      <w:r>
        <w:rPr>
          <w:rFonts w:hint="eastAsia"/>
        </w:rPr>
        <w:t>（7）加强网络安全立法的主要关注点在：个人信息保护（关注度80.15%）、网络平台责任（关注度66.56%）、网络违法犯罪防治（关注度52.49%）。未成年人上网保护、网络安全各领域监管、关键信息基础设施保护等方面的立法关注度也比较高（关注度45%以上）。</w:t>
      </w:r>
    </w:p>
    <w:p>
      <w:pPr>
        <w:pStyle w:val="3"/>
        <w:spacing w:before="120" w:beforeLines="50" w:after="120" w:afterLines="50"/>
      </w:pPr>
      <w:bookmarkStart w:id="45" w:name="_Toc21599"/>
      <w:r>
        <w:rPr>
          <w:rFonts w:hint="eastAsia"/>
        </w:rPr>
        <w:t>2.5网络安全监管取得成效，网络安全等级保护制度进一步落实</w:t>
      </w:r>
      <w:bookmarkEnd w:id="45"/>
    </w:p>
    <w:p>
      <w:r>
        <w:rPr>
          <w:rFonts w:hint="eastAsia"/>
        </w:rPr>
        <w:t>（8）政府有关部门加强网络安全监管取得成效，监管力度评价得到肯定。从业人员认为监管力度非常强占15.98%，认为比较强占42.10%，合起来占58.08%，超过一半。认为一般有30.98%。</w:t>
      </w:r>
    </w:p>
    <w:p>
      <w:r>
        <w:rPr>
          <w:rFonts w:hint="eastAsia"/>
        </w:rPr>
        <w:t>（9）网络安全等级保护制度扎实推进，行业指导推进得到落实。行业主管部门对等级保护工作的推进落实方面，77.28</w:t>
      </w:r>
      <w:r>
        <w:t>%</w:t>
      </w:r>
      <w:r>
        <w:rPr>
          <w:rFonts w:hint="eastAsia"/>
        </w:rPr>
        <w:t>的从业人员所在行业出台了具体的指导意见，其中44.70%从业人员所在行业有明确细致的指导意见，32.58%有较为简单指导意见。</w:t>
      </w:r>
    </w:p>
    <w:p>
      <w:r>
        <w:rPr>
          <w:rFonts w:hint="eastAsia"/>
        </w:rPr>
        <w:t>（10）对网络安全等级保护制度2.0国家标准了解方面，40.77%从业人员表示了解，38.46%从业人员表示知道等级保护，但不了解等级保护2.0，完全不了解的占20.77%。绝大部分从业人员（79.23%）对等保制度有所了解，但等级保护2.0新标准还需要进一步加强宣贯。</w:t>
      </w:r>
    </w:p>
    <w:p>
      <w:pPr>
        <w:pStyle w:val="3"/>
        <w:spacing w:before="120" w:beforeLines="50" w:after="120" w:afterLines="50"/>
      </w:pPr>
      <w:bookmarkStart w:id="46" w:name="_Toc23590"/>
      <w:r>
        <w:rPr>
          <w:rFonts w:hint="eastAsia"/>
        </w:rPr>
        <w:t>2.6企业网络安全合规遵循有所加强，网络安全管理有所改善</w:t>
      </w:r>
      <w:bookmarkEnd w:id="46"/>
    </w:p>
    <w:p>
      <w:r>
        <w:rPr>
          <w:rFonts w:hint="eastAsia"/>
        </w:rPr>
        <w:t>（11）从业人员对企业网络安全合规要求认识有所提高，认为企业合规应遵循的法规认知度前5位分别为：1《中华人民共和国网络安全法》（88.55%）、2《计算机信息系统安全保护条例》（85.50%）、3《信息安全等级保护管理办法》（80.92%）、4《互联网信息服务管理办法》（68.70%）、5《国家安全法》（58.78%）。</w:t>
      </w:r>
    </w:p>
    <w:p>
      <w:r>
        <w:rPr>
          <w:rFonts w:hint="eastAsia"/>
        </w:rPr>
        <w:t>（12）企业网络安全管理措施得到进一步落实。67.18%从业人员所在单位设置了网络安全专门机构，73.28%从业人员所在单位落实了网络安全责任人，67.18%从业人员所在单位落实了网络安全经费预算。66.92%从业人员表示所在单位有定期进行网络安全检查。总体上网络安全管理有所改善，但还有一定的提升空间。</w:t>
      </w:r>
    </w:p>
    <w:p>
      <w:r>
        <w:rPr>
          <w:rFonts w:hint="eastAsia"/>
        </w:rPr>
        <w:t>（13）从业人员接受过网络安全培训最多前三位是本单位组织的培训（覆盖率59.23%）、专业机构组织的培训等（覆盖率38.46%）、政府部门组织的培训（覆盖率33.08%）。但也有16.15%的从业人员从未接受过培训。</w:t>
      </w:r>
    </w:p>
    <w:p>
      <w:r>
        <w:rPr>
          <w:rFonts w:hint="eastAsia"/>
        </w:rPr>
        <w:t>（14）从业人员对所在单位安全管理状况满意度评价方面，70.63%从业人员表示满意或非常满意，其中52.38%从业人员表示满意，18.25%从业人员表示非常满意。</w:t>
      </w:r>
    </w:p>
    <w:bookmarkEnd w:id="42"/>
    <w:p>
      <w:pPr>
        <w:pStyle w:val="3"/>
        <w:spacing w:before="156" w:after="156"/>
      </w:pPr>
      <w:bookmarkStart w:id="47" w:name="_Toc19207405"/>
      <w:bookmarkStart w:id="48" w:name="_Toc27069"/>
      <w:r>
        <w:rPr>
          <w:rFonts w:hint="eastAsia"/>
        </w:rPr>
        <w:t>2.7</w:t>
      </w:r>
      <w:bookmarkEnd w:id="47"/>
      <w:r>
        <w:rPr>
          <w:rFonts w:hint="eastAsia"/>
        </w:rPr>
        <w:t>新技术应用发展迅速，安全风险受到关注</w:t>
      </w:r>
      <w:bookmarkEnd w:id="48"/>
    </w:p>
    <w:p>
      <w:r>
        <w:rPr>
          <w:rFonts w:hint="eastAsia"/>
        </w:rPr>
        <w:t>（15）从业人员对新技术的网络安全问题是比较关注。从关注度排列前5位为：5G移动网络（73.58%）、大数据（70.98%）、人工智能（59.07%）、物联网（48.19%）、区块链（47.15%）。</w:t>
      </w:r>
    </w:p>
    <w:p>
      <w:r>
        <w:rPr>
          <w:rFonts w:hint="eastAsia"/>
        </w:rPr>
        <w:t>（16）5G网络应用安全成为行业内关注热点，从业人员对5G技术的顾虑主要有：比4G服务收费更高（73.06%），网络覆盖面小（65.80%），担心5G技术不成熟出现网络错误或卡顿（32.12%），担心5G网络不安全（21.76%）。</w:t>
      </w:r>
    </w:p>
    <w:p>
      <w:r>
        <w:rPr>
          <w:rFonts w:hint="eastAsia"/>
        </w:rPr>
        <w:t>（17）人工智能的技术成熟度、安全隐私保护问题等是从业人员关注的重点。从业人员认为目前人工智能应用发展面临的阻力主要有：1技术有待成熟（76.80%）、2安全隐私问题有待解决（69.59%）、3应用普及难度大（57.22%）等。</w:t>
      </w:r>
    </w:p>
    <w:p>
      <w:pPr>
        <w:pStyle w:val="3"/>
        <w:spacing w:before="156" w:after="156"/>
      </w:pPr>
      <w:bookmarkStart w:id="49" w:name="_Toc19207406"/>
      <w:bookmarkStart w:id="50" w:name="_Toc20641"/>
      <w:r>
        <w:rPr>
          <w:rFonts w:hint="eastAsia"/>
        </w:rPr>
        <w:t>2.8网络安全行业进入快速发展阶段，技术研发和人才培养是关键</w:t>
      </w:r>
      <w:bookmarkEnd w:id="49"/>
      <w:bookmarkEnd w:id="50"/>
    </w:p>
    <w:p>
      <w:r>
        <w:rPr>
          <w:rFonts w:hint="eastAsia"/>
        </w:rPr>
        <w:t>（18）网络安全产品服务需求大幅上涨，对网络产品和服务划分等级得到行业认可。行业内人员信心提高，92.74%的从业人员认为当前网络安全行业市场需求上涨。大部分（56.00%）从业人员对网络安全行业提供网络安全保障水平是比较认可的。</w:t>
      </w:r>
    </w:p>
    <w:p>
      <w:r>
        <w:rPr>
          <w:rFonts w:hint="eastAsia"/>
        </w:rPr>
        <w:t>（19）网络安全科研管理有待改善，需要进一步加大研发经费和人才培养的投入。大部分（58.33%）从业人员所在单位网络安全科研经费一般或较少。网络安全领域科研工作在项目管理（关注度66.67%）、经费管理（关注度66.67%）、立项评选、成果管理（关注度58.33%）等方面需要改善。</w:t>
      </w:r>
    </w:p>
    <w:p>
      <w:pPr>
        <w:rPr>
          <w:rFonts w:ascii="黑体" w:hAnsi="黑体" w:eastAsia="黑体"/>
          <w:b/>
          <w:bCs/>
          <w:kern w:val="44"/>
          <w:sz w:val="28"/>
          <w:szCs w:val="28"/>
        </w:rPr>
      </w:pPr>
      <w:r>
        <w:br w:type="page"/>
      </w:r>
    </w:p>
    <w:p>
      <w:pPr>
        <w:pStyle w:val="2"/>
      </w:pPr>
      <w:bookmarkStart w:id="51" w:name="_Toc19207407"/>
      <w:bookmarkStart w:id="52" w:name="_Toc12713"/>
      <w:r>
        <w:rPr>
          <w:rFonts w:hint="eastAsia"/>
        </w:rPr>
        <w:t>三、网民基本情况</w:t>
      </w:r>
      <w:bookmarkEnd w:id="51"/>
      <w:bookmarkEnd w:id="52"/>
    </w:p>
    <w:p>
      <w:r>
        <w:rPr>
          <w:rFonts w:hint="eastAsia"/>
        </w:rPr>
        <w:t>本次问卷调查共收回重庆省从业人员版网络安全感满意度调查问卷1732份，经数据清洗消除无效数据后，共有1627份问卷数据纳入统计。</w:t>
      </w:r>
    </w:p>
    <w:p>
      <w:r>
        <w:rPr>
          <w:rFonts w:hint="eastAsia" w:cstheme="minorHAnsi"/>
        </w:rPr>
        <w:t>以下统计数据基于本次调查问卷有效样本统计而成，反映的是参与调查活动的公众网民和从业人员的意见和情况。报告中“重庆”是特指重庆市范围参与调查的有效样本的总体，“各省”、“各市”也是基于参与调查的有效样本中分布在各省、各市的子集。本报告是重庆市报告，数据统计范围涵盖重庆市。</w:t>
      </w:r>
    </w:p>
    <w:p>
      <w:pPr>
        <w:pStyle w:val="3"/>
      </w:pPr>
      <w:bookmarkStart w:id="53" w:name="_Toc16231"/>
      <w:r>
        <w:rPr>
          <w:rFonts w:hint="eastAsia"/>
        </w:rPr>
        <w:t>3.1性别分布</w:t>
      </w:r>
      <w:bookmarkEnd w:id="53"/>
    </w:p>
    <w:p>
      <w:r>
        <w:rPr>
          <w:rFonts w:hint="eastAsia"/>
        </w:rPr>
        <w:t>参与本次调查的网民中男性占59.25%，女性网民占40.75%。从数据上看从业人员中男性的比例稍高。</w:t>
      </w:r>
    </w:p>
    <w:p>
      <w:pPr>
        <w:ind w:firstLine="0" w:firstLineChars="0"/>
        <w:jc w:val="center"/>
      </w:pPr>
      <w:r>
        <w:drawing>
          <wp:inline distT="0" distB="0" distL="114300" distR="114300">
            <wp:extent cx="4861560" cy="2813685"/>
            <wp:effectExtent l="0" t="0" r="15240" b="5715"/>
            <wp:docPr id="2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5"/>
        <w:jc w:val="center"/>
      </w:pPr>
      <w:bookmarkStart w:id="54" w:name="_Toc19305585"/>
      <w:bookmarkStart w:id="55" w:name="_Toc19203680"/>
      <w:bookmarkStart w:id="56" w:name="_Toc48815640"/>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1</w:t>
      </w:r>
      <w:r>
        <w:fldChar w:fldCharType="end"/>
      </w:r>
      <w:bookmarkStart w:id="57" w:name="_Toc30646"/>
      <w:bookmarkStart w:id="58" w:name="_Toc2888"/>
      <w:bookmarkStart w:id="59" w:name="_Toc3293"/>
      <w:bookmarkStart w:id="60" w:name="_Toc7950"/>
      <w:bookmarkStart w:id="61" w:name="_Toc17158"/>
      <w:bookmarkStart w:id="62" w:name="_Toc6140"/>
      <w:bookmarkStart w:id="63" w:name="_Toc20508"/>
      <w:bookmarkStart w:id="64" w:name="_Toc2251"/>
      <w:bookmarkStart w:id="65" w:name="_Toc28878"/>
      <w:r>
        <w:rPr>
          <w:rFonts w:hint="eastAsia"/>
        </w:rPr>
        <w:t>：从业人员网民性别</w:t>
      </w:r>
      <w:bookmarkEnd w:id="54"/>
      <w:bookmarkEnd w:id="55"/>
      <w:r>
        <w:rPr>
          <w:rFonts w:hint="eastAsia"/>
        </w:rPr>
        <w:t>分布图</w:t>
      </w:r>
      <w:bookmarkEnd w:id="56"/>
      <w:bookmarkEnd w:id="57"/>
      <w:bookmarkEnd w:id="58"/>
      <w:bookmarkEnd w:id="59"/>
      <w:bookmarkEnd w:id="60"/>
      <w:bookmarkEnd w:id="61"/>
      <w:bookmarkEnd w:id="62"/>
      <w:bookmarkEnd w:id="63"/>
      <w:bookmarkEnd w:id="64"/>
      <w:bookmarkEnd w:id="65"/>
    </w:p>
    <w:p/>
    <w:p>
      <w:pPr>
        <w:pStyle w:val="3"/>
      </w:pPr>
      <w:bookmarkStart w:id="66" w:name="_Toc28127"/>
      <w:r>
        <w:rPr>
          <w:rFonts w:hint="eastAsia"/>
        </w:rPr>
        <w:t>3.2年龄分布</w:t>
      </w:r>
      <w:bookmarkEnd w:id="66"/>
    </w:p>
    <w:p>
      <w:r>
        <w:rPr>
          <w:rFonts w:hint="eastAsia"/>
        </w:rPr>
        <w:t>网民中年轻人占大多数，其中，12岁到18岁占4.67%，19岁到24岁占30.79%，25岁到30岁占37.55%，31岁到45岁占21.39%，即30岁以下年轻人占约73.01%。45岁以下占5.29%，从业人员年龄以中青年为主，其中30岁以下年轻人占差不多四分之三。</w:t>
      </w:r>
    </w:p>
    <w:p>
      <w:pPr>
        <w:tabs>
          <w:tab w:val="left" w:pos="2820"/>
        </w:tabs>
      </w:pPr>
      <w:r>
        <w:tab/>
      </w:r>
    </w:p>
    <w:p>
      <w:pPr>
        <w:ind w:firstLine="0" w:firstLineChars="0"/>
        <w:jc w:val="center"/>
      </w:pPr>
      <w:r>
        <w:drawing>
          <wp:inline distT="0" distB="0" distL="114300" distR="114300">
            <wp:extent cx="4905375" cy="2449195"/>
            <wp:effectExtent l="4445" t="4445" r="5080" b="22860"/>
            <wp:docPr id="20"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5"/>
        <w:jc w:val="center"/>
      </w:pPr>
      <w:bookmarkStart w:id="67" w:name="_Toc48815641"/>
      <w:bookmarkStart w:id="68" w:name="_Toc19203681"/>
      <w:bookmarkStart w:id="69" w:name="_Toc19305586"/>
      <w:r>
        <w:rPr>
          <w:rFonts w:hint="eastAsia"/>
        </w:rPr>
        <w:t>图表</w:t>
      </w:r>
      <w:r>
        <w:rPr>
          <w:rFonts w:hint="eastAsia"/>
        </w:rPr>
        <w:fldChar w:fldCharType="begin"/>
      </w:r>
      <w:r>
        <w:rPr>
          <w:rFonts w:hint="eastAsia"/>
        </w:rPr>
        <w:instrText xml:space="preserve"> SEQ 图表 \* ARABIC </w:instrText>
      </w:r>
      <w:r>
        <w:rPr>
          <w:rFonts w:hint="eastAsia"/>
        </w:rPr>
        <w:fldChar w:fldCharType="separate"/>
      </w:r>
      <w:r>
        <w:rPr>
          <w:rFonts w:hint="eastAsia"/>
        </w:rPr>
        <w:t>2</w:t>
      </w:r>
      <w:r>
        <w:rPr>
          <w:rFonts w:hint="eastAsia"/>
        </w:rPr>
        <w:fldChar w:fldCharType="end"/>
      </w:r>
      <w:bookmarkStart w:id="70" w:name="_Toc29285"/>
      <w:bookmarkStart w:id="71" w:name="_Toc29858"/>
      <w:bookmarkStart w:id="72" w:name="_Toc13406"/>
      <w:bookmarkStart w:id="73" w:name="_Toc6137"/>
      <w:bookmarkStart w:id="74" w:name="_Toc30808"/>
      <w:bookmarkStart w:id="75" w:name="_Toc19797"/>
      <w:bookmarkStart w:id="76" w:name="_Toc6761"/>
      <w:bookmarkStart w:id="77" w:name="_Toc12049"/>
      <w:bookmarkStart w:id="78" w:name="_Toc28655"/>
      <w:r>
        <w:rPr>
          <w:rFonts w:hint="eastAsia"/>
        </w:rPr>
        <w:t>：从业人员网民年龄分布图</w:t>
      </w:r>
      <w:bookmarkEnd w:id="67"/>
      <w:bookmarkEnd w:id="68"/>
      <w:bookmarkEnd w:id="69"/>
      <w:bookmarkEnd w:id="70"/>
      <w:bookmarkEnd w:id="71"/>
      <w:bookmarkEnd w:id="72"/>
      <w:bookmarkEnd w:id="73"/>
      <w:bookmarkEnd w:id="74"/>
      <w:bookmarkEnd w:id="75"/>
      <w:bookmarkEnd w:id="76"/>
      <w:bookmarkEnd w:id="77"/>
      <w:bookmarkEnd w:id="78"/>
    </w:p>
    <w:p/>
    <w:p>
      <w:pPr>
        <w:pStyle w:val="3"/>
      </w:pPr>
      <w:bookmarkStart w:id="79" w:name="_Toc23760"/>
      <w:r>
        <w:rPr>
          <w:rFonts w:hint="eastAsia"/>
        </w:rPr>
        <w:t>3.3从业时间</w:t>
      </w:r>
      <w:bookmarkEnd w:id="79"/>
    </w:p>
    <w:p>
      <w:r>
        <w:rPr>
          <w:rFonts w:hint="eastAsia"/>
        </w:rPr>
        <w:t>大部分从业人员从业时间较短，有54.46%的从业人员从业时间在1-3年，从业时间4-6年的占22.62%。相较于全国数据，顺序完成一致。</w:t>
      </w:r>
    </w:p>
    <w:p>
      <w:pPr>
        <w:ind w:firstLine="0" w:firstLineChars="0"/>
        <w:jc w:val="center"/>
      </w:pPr>
      <w:r>
        <w:drawing>
          <wp:inline distT="0" distB="0" distL="114300" distR="114300">
            <wp:extent cx="4717415" cy="3081020"/>
            <wp:effectExtent l="4445" t="4445" r="21590" b="19685"/>
            <wp:docPr id="12"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6"/>
        <w:jc w:val="center"/>
        <w:rPr>
          <w:sz w:val="24"/>
        </w:rPr>
      </w:pPr>
      <w:bookmarkStart w:id="80" w:name="_Toc48815642"/>
      <w:bookmarkStart w:id="81" w:name="_Toc19203682"/>
      <w:bookmarkStart w:id="82" w:name="_Toc19305587"/>
      <w:r>
        <w:rPr>
          <w:rFonts w:hint="eastAsia" w:ascii="Calibri" w:hAnsi="Calibri" w:cstheme="majorBidi"/>
          <w:sz w:val="24"/>
          <w:szCs w:val="20"/>
        </w:rPr>
        <w:t>图表</w:t>
      </w:r>
      <w:r>
        <w:rPr>
          <w:rFonts w:hint="eastAsia" w:ascii="Calibri" w:hAnsi="Calibri" w:cstheme="majorBidi"/>
          <w:sz w:val="24"/>
          <w:szCs w:val="20"/>
        </w:rPr>
        <w:fldChar w:fldCharType="begin"/>
      </w:r>
      <w:r>
        <w:rPr>
          <w:rFonts w:hint="eastAsia" w:ascii="Calibri" w:hAnsi="Calibri" w:cstheme="majorBidi"/>
          <w:sz w:val="24"/>
          <w:szCs w:val="20"/>
        </w:rPr>
        <w:instrText xml:space="preserve"> SEQ 图表 \* ARABIC </w:instrText>
      </w:r>
      <w:r>
        <w:rPr>
          <w:rFonts w:hint="eastAsia" w:ascii="Calibri" w:hAnsi="Calibri" w:cstheme="majorBidi"/>
          <w:sz w:val="24"/>
          <w:szCs w:val="20"/>
        </w:rPr>
        <w:fldChar w:fldCharType="separate"/>
      </w:r>
      <w:r>
        <w:rPr>
          <w:rFonts w:hint="eastAsia" w:ascii="Calibri" w:hAnsi="Calibri" w:cstheme="majorBidi"/>
          <w:sz w:val="24"/>
          <w:szCs w:val="20"/>
        </w:rPr>
        <w:t>3</w:t>
      </w:r>
      <w:r>
        <w:rPr>
          <w:rFonts w:hint="eastAsia" w:ascii="Calibri" w:hAnsi="Calibri" w:cstheme="majorBidi"/>
          <w:sz w:val="24"/>
          <w:szCs w:val="20"/>
        </w:rPr>
        <w:fldChar w:fldCharType="end"/>
      </w:r>
      <w:bookmarkStart w:id="83" w:name="_Toc23889"/>
      <w:bookmarkStart w:id="84" w:name="_Toc16727"/>
      <w:bookmarkStart w:id="85" w:name="_Toc8707"/>
      <w:bookmarkStart w:id="86" w:name="_Toc22763"/>
      <w:bookmarkStart w:id="87" w:name="_Toc29680"/>
      <w:bookmarkStart w:id="88" w:name="_Toc30179"/>
      <w:bookmarkStart w:id="89" w:name="_Toc4800"/>
      <w:bookmarkStart w:id="90" w:name="_Toc4153"/>
      <w:bookmarkStart w:id="91" w:name="_Toc6286"/>
      <w:r>
        <w:rPr>
          <w:rFonts w:hint="eastAsia" w:ascii="Calibri" w:hAnsi="Calibri" w:cstheme="majorBidi"/>
          <w:sz w:val="24"/>
          <w:szCs w:val="20"/>
        </w:rPr>
        <w:t>：从业人员从业时间分布图</w:t>
      </w:r>
      <w:bookmarkEnd w:id="80"/>
      <w:bookmarkEnd w:id="81"/>
      <w:bookmarkEnd w:id="82"/>
      <w:bookmarkEnd w:id="83"/>
      <w:bookmarkEnd w:id="84"/>
      <w:bookmarkEnd w:id="85"/>
      <w:bookmarkEnd w:id="86"/>
      <w:bookmarkEnd w:id="87"/>
      <w:bookmarkEnd w:id="88"/>
      <w:bookmarkEnd w:id="89"/>
      <w:bookmarkEnd w:id="90"/>
      <w:bookmarkEnd w:id="91"/>
    </w:p>
    <w:p/>
    <w:p>
      <w:pPr>
        <w:pStyle w:val="3"/>
      </w:pPr>
      <w:bookmarkStart w:id="92" w:name="_Toc23707"/>
      <w:r>
        <w:rPr>
          <w:rFonts w:hint="eastAsia"/>
        </w:rPr>
        <w:t>3.4学历分布</w:t>
      </w:r>
      <w:bookmarkEnd w:id="92"/>
    </w:p>
    <w:p>
      <w:r>
        <w:rPr>
          <w:rFonts w:hint="eastAsia"/>
        </w:rPr>
        <w:t>参与调查的从业人员中大学本科学历人数最多，占50.95%，其次是大专学历，占31.78%。大专以上学历占86.67%。</w:t>
      </w:r>
    </w:p>
    <w:p>
      <w:pPr>
        <w:ind w:firstLine="0" w:firstLineChars="0"/>
        <w:jc w:val="center"/>
      </w:pPr>
      <w:r>
        <w:drawing>
          <wp:inline distT="0" distB="0" distL="114300" distR="114300">
            <wp:extent cx="4549775" cy="2295525"/>
            <wp:effectExtent l="4445" t="4445" r="17780" b="508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6"/>
        <w:jc w:val="center"/>
        <w:rPr>
          <w:sz w:val="24"/>
        </w:rPr>
      </w:pPr>
      <w:bookmarkStart w:id="93" w:name="_Toc19203683"/>
      <w:bookmarkStart w:id="94" w:name="_Toc19305588"/>
      <w:bookmarkStart w:id="95" w:name="_Toc48815643"/>
      <w:r>
        <w:rPr>
          <w:rFonts w:hint="eastAsia" w:ascii="Calibri" w:hAnsi="Calibri" w:cstheme="majorBidi"/>
          <w:sz w:val="24"/>
          <w:szCs w:val="20"/>
        </w:rPr>
        <w:t>图表</w:t>
      </w:r>
      <w:r>
        <w:rPr>
          <w:rFonts w:hint="eastAsia" w:ascii="Calibri" w:hAnsi="Calibri" w:cstheme="majorBidi"/>
          <w:sz w:val="24"/>
          <w:szCs w:val="20"/>
        </w:rPr>
        <w:fldChar w:fldCharType="begin"/>
      </w:r>
      <w:r>
        <w:rPr>
          <w:rFonts w:hint="eastAsia" w:ascii="Calibri" w:hAnsi="Calibri" w:cstheme="majorBidi"/>
          <w:sz w:val="24"/>
          <w:szCs w:val="20"/>
        </w:rPr>
        <w:instrText xml:space="preserve"> SEQ 图表 \* ARABIC </w:instrText>
      </w:r>
      <w:r>
        <w:rPr>
          <w:rFonts w:hint="eastAsia" w:ascii="Calibri" w:hAnsi="Calibri" w:cstheme="majorBidi"/>
          <w:sz w:val="24"/>
          <w:szCs w:val="20"/>
        </w:rPr>
        <w:fldChar w:fldCharType="separate"/>
      </w:r>
      <w:r>
        <w:rPr>
          <w:rFonts w:hint="eastAsia" w:ascii="Calibri" w:hAnsi="Calibri" w:cstheme="majorBidi"/>
          <w:sz w:val="24"/>
          <w:szCs w:val="20"/>
        </w:rPr>
        <w:t>4</w:t>
      </w:r>
      <w:r>
        <w:rPr>
          <w:rFonts w:hint="eastAsia" w:ascii="Calibri" w:hAnsi="Calibri" w:cstheme="majorBidi"/>
          <w:sz w:val="24"/>
          <w:szCs w:val="20"/>
        </w:rPr>
        <w:fldChar w:fldCharType="end"/>
      </w:r>
      <w:bookmarkStart w:id="96" w:name="_Toc990"/>
      <w:bookmarkStart w:id="97" w:name="_Toc23868"/>
      <w:bookmarkStart w:id="98" w:name="_Toc3443"/>
      <w:bookmarkStart w:id="99" w:name="_Toc25189"/>
      <w:bookmarkStart w:id="100" w:name="_Toc23143"/>
      <w:bookmarkStart w:id="101" w:name="_Toc3471"/>
      <w:bookmarkStart w:id="102" w:name="_Toc7896"/>
      <w:bookmarkStart w:id="103" w:name="_Toc2650"/>
      <w:bookmarkStart w:id="104" w:name="_Toc14517"/>
      <w:r>
        <w:rPr>
          <w:rFonts w:hint="eastAsia" w:ascii="Calibri" w:hAnsi="Calibri" w:cstheme="majorBidi"/>
          <w:sz w:val="24"/>
          <w:szCs w:val="20"/>
        </w:rPr>
        <w:t>：从业人员学历分布图</w:t>
      </w:r>
      <w:bookmarkEnd w:id="93"/>
      <w:bookmarkEnd w:id="94"/>
      <w:bookmarkEnd w:id="95"/>
      <w:bookmarkEnd w:id="96"/>
      <w:bookmarkEnd w:id="97"/>
      <w:bookmarkEnd w:id="98"/>
      <w:bookmarkEnd w:id="99"/>
      <w:bookmarkEnd w:id="100"/>
      <w:bookmarkEnd w:id="101"/>
      <w:bookmarkEnd w:id="102"/>
      <w:bookmarkEnd w:id="103"/>
      <w:bookmarkEnd w:id="104"/>
    </w:p>
    <w:p/>
    <w:p>
      <w:pPr>
        <w:pStyle w:val="3"/>
      </w:pPr>
      <w:bookmarkStart w:id="105" w:name="_Toc1103"/>
      <w:r>
        <w:rPr>
          <w:rFonts w:hint="eastAsia"/>
        </w:rPr>
        <w:t>3.5工作单位</w:t>
      </w:r>
      <w:bookmarkEnd w:id="105"/>
    </w:p>
    <w:p>
      <w:r>
        <w:rPr>
          <w:rFonts w:hint="eastAsia"/>
        </w:rPr>
        <w:t>参与调查的从业人员的工作单位以一般互联网用户单位最多，为46.16%，其次是网络服务营运商占23.23%，网络安全产品与服务提供商占11.68%，国有企事业单位用户占9.22%。相较于全国数据，顺序有所不同。</w:t>
      </w:r>
    </w:p>
    <w:p>
      <w:pPr>
        <w:ind w:firstLine="0" w:firstLineChars="0"/>
        <w:jc w:val="center"/>
      </w:pPr>
      <w:r>
        <w:drawing>
          <wp:inline distT="0" distB="0" distL="114300" distR="114300">
            <wp:extent cx="4787265" cy="3573145"/>
            <wp:effectExtent l="4445" t="5080" r="8890" b="2222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pStyle w:val="5"/>
        <w:jc w:val="center"/>
      </w:pPr>
      <w:bookmarkStart w:id="106" w:name="_Toc19305589"/>
      <w:bookmarkStart w:id="107" w:name="_Toc48815644"/>
      <w:bookmarkStart w:id="108" w:name="_Toc19203684"/>
      <w:r>
        <w:rPr>
          <w:rFonts w:hint="eastAsia"/>
        </w:rPr>
        <w:t>图表</w:t>
      </w:r>
      <w:r>
        <w:rPr>
          <w:rFonts w:hint="eastAsia"/>
        </w:rPr>
        <w:fldChar w:fldCharType="begin"/>
      </w:r>
      <w:r>
        <w:rPr>
          <w:rFonts w:hint="eastAsia"/>
        </w:rPr>
        <w:instrText xml:space="preserve"> SEQ 图表 \* ARABIC </w:instrText>
      </w:r>
      <w:r>
        <w:rPr>
          <w:rFonts w:hint="eastAsia"/>
        </w:rPr>
        <w:fldChar w:fldCharType="separate"/>
      </w:r>
      <w:r>
        <w:rPr>
          <w:rFonts w:hint="eastAsia"/>
        </w:rPr>
        <w:t>5</w:t>
      </w:r>
      <w:r>
        <w:rPr>
          <w:rFonts w:hint="eastAsia"/>
        </w:rPr>
        <w:fldChar w:fldCharType="end"/>
      </w:r>
      <w:bookmarkStart w:id="109" w:name="_Toc13828"/>
      <w:bookmarkStart w:id="110" w:name="_Toc7929"/>
      <w:bookmarkStart w:id="111" w:name="_Toc8997"/>
      <w:bookmarkStart w:id="112" w:name="_Toc26734"/>
      <w:bookmarkStart w:id="113" w:name="_Toc9609"/>
      <w:bookmarkStart w:id="114" w:name="_Toc13561"/>
      <w:bookmarkStart w:id="115" w:name="_Toc30000"/>
      <w:bookmarkStart w:id="116" w:name="_Toc1788"/>
      <w:bookmarkStart w:id="117" w:name="_Toc27896"/>
      <w:r>
        <w:rPr>
          <w:rFonts w:hint="eastAsia"/>
        </w:rPr>
        <w:t>：重庆市从业人员工作单位分布图</w:t>
      </w:r>
      <w:bookmarkEnd w:id="106"/>
      <w:bookmarkEnd w:id="107"/>
      <w:bookmarkEnd w:id="108"/>
      <w:bookmarkEnd w:id="109"/>
      <w:bookmarkEnd w:id="110"/>
      <w:bookmarkEnd w:id="111"/>
      <w:bookmarkEnd w:id="112"/>
      <w:bookmarkEnd w:id="113"/>
      <w:bookmarkEnd w:id="114"/>
      <w:bookmarkEnd w:id="115"/>
      <w:bookmarkEnd w:id="116"/>
      <w:bookmarkEnd w:id="117"/>
    </w:p>
    <w:p/>
    <w:p>
      <w:pPr>
        <w:ind w:firstLine="0" w:firstLineChars="0"/>
      </w:pPr>
    </w:p>
    <w:p>
      <w:pPr>
        <w:pStyle w:val="2"/>
      </w:pPr>
      <w:bookmarkStart w:id="118" w:name="_Toc19207410"/>
      <w:bookmarkStart w:id="119" w:name="_Toc12581"/>
      <w:r>
        <w:rPr>
          <w:rFonts w:hint="eastAsia"/>
        </w:rPr>
        <w:t>四、网络安全</w:t>
      </w:r>
      <w:bookmarkEnd w:id="118"/>
      <w:r>
        <w:rPr>
          <w:rFonts w:hint="eastAsia"/>
        </w:rPr>
        <w:t>共性问题</w:t>
      </w:r>
      <w:bookmarkEnd w:id="119"/>
    </w:p>
    <w:p>
      <w:pPr>
        <w:pStyle w:val="3"/>
      </w:pPr>
      <w:bookmarkStart w:id="120" w:name="_Toc19207411"/>
      <w:bookmarkStart w:id="121" w:name="_Toc13117"/>
      <w:r>
        <w:rPr>
          <w:rFonts w:hint="eastAsia"/>
        </w:rPr>
        <w:t>4.1安全感总体</w:t>
      </w:r>
      <w:bookmarkEnd w:id="120"/>
      <w:r>
        <w:rPr>
          <w:rFonts w:hint="eastAsia"/>
        </w:rPr>
        <w:t>感受</w:t>
      </w:r>
      <w:bookmarkEnd w:id="121"/>
    </w:p>
    <w:p>
      <w:r>
        <w:rPr>
          <w:rFonts w:hint="eastAsia"/>
        </w:rPr>
        <w:t>（1）2020年从业人员网民网络安全感评价</w:t>
      </w:r>
    </w:p>
    <w:p>
      <w:r>
        <w:rPr>
          <w:rFonts w:hint="eastAsia"/>
        </w:rPr>
        <w:t>超过一半的网民对使用网络时的总体安全感觉是安全或一般的。其中感到一般占33.80%，安全占39.21%，两者相加占73.01%。评价非常安全的占14.07%，持不安全评价的占8.54%，非常不安全的评价占4.36%，两者相加，持不安全评价或非常不安全评价的占12.90%。与全国数据相比，各项比例相差不大。</w:t>
      </w:r>
    </w:p>
    <w:p>
      <w:pPr>
        <w:ind w:firstLine="0" w:firstLineChars="0"/>
        <w:jc w:val="center"/>
      </w:pPr>
      <w:r>
        <w:drawing>
          <wp:inline distT="0" distB="0" distL="114300" distR="114300">
            <wp:extent cx="5160010" cy="3028950"/>
            <wp:effectExtent l="4445" t="4445" r="17145" b="14605"/>
            <wp:docPr id="1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pStyle w:val="5"/>
        <w:jc w:val="center"/>
      </w:pPr>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6</w:t>
      </w:r>
      <w:r>
        <w:rPr>
          <w:rFonts w:hint="eastAsia"/>
        </w:rPr>
        <w:fldChar w:fldCharType="end"/>
      </w:r>
      <w:bookmarkStart w:id="122" w:name="_Toc18845"/>
      <w:bookmarkStart w:id="123" w:name="_Toc15839"/>
      <w:bookmarkStart w:id="124" w:name="_Toc8121"/>
      <w:bookmarkStart w:id="125" w:name="_Toc16681"/>
      <w:bookmarkStart w:id="126" w:name="_Toc1178"/>
      <w:bookmarkStart w:id="127" w:name="_Toc16930"/>
      <w:bookmarkStart w:id="128" w:name="_Toc22848"/>
      <w:bookmarkStart w:id="129" w:name="_Toc25184"/>
      <w:bookmarkStart w:id="130" w:name="_Toc9542"/>
      <w:r>
        <w:rPr>
          <w:rFonts w:hint="eastAsia"/>
        </w:rPr>
        <w:t>：从业人员网民安全感评价分布图</w:t>
      </w:r>
      <w:bookmarkEnd w:id="122"/>
      <w:bookmarkEnd w:id="123"/>
      <w:bookmarkEnd w:id="124"/>
      <w:bookmarkEnd w:id="125"/>
      <w:bookmarkEnd w:id="126"/>
      <w:bookmarkEnd w:id="127"/>
      <w:bookmarkEnd w:id="128"/>
      <w:bookmarkEnd w:id="129"/>
      <w:bookmarkEnd w:id="130"/>
    </w:p>
    <w:p>
      <w:pPr>
        <w:ind w:firstLine="0" w:firstLineChars="0"/>
      </w:pPr>
      <w:r>
        <w:rPr>
          <w:rFonts w:hint="eastAsia"/>
        </w:rPr>
        <w:t>（图表数据来源：从业人员版主问卷第6题：您认为当前网络安全状况如何？）</w:t>
      </w:r>
    </w:p>
    <w:p/>
    <w:p>
      <w:r>
        <w:rPr>
          <w:rFonts w:hint="eastAsia"/>
        </w:rPr>
        <w:t>和2020年公众网民对网络安全感的评价数据相比，认为网络非常安全的从业人员比公众网民比例要高2.76个百分点，认为网络安全一般的从业人员比公众网民比例要低7.01个百分点。</w:t>
      </w:r>
    </w:p>
    <w:p>
      <w:pPr>
        <w:ind w:firstLine="0" w:firstLineChars="0"/>
        <w:jc w:val="center"/>
      </w:pPr>
      <w:r>
        <w:drawing>
          <wp:inline distT="0" distB="0" distL="114300" distR="114300">
            <wp:extent cx="5281295" cy="2821305"/>
            <wp:effectExtent l="4445" t="4445" r="10160" b="12700"/>
            <wp:docPr id="3"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pStyle w:val="5"/>
        <w:jc w:val="center"/>
      </w:pPr>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7</w:t>
      </w:r>
      <w:r>
        <w:rPr>
          <w:rFonts w:hint="eastAsia"/>
        </w:rPr>
        <w:fldChar w:fldCharType="end"/>
      </w:r>
      <w:bookmarkStart w:id="131" w:name="_Toc31010"/>
      <w:bookmarkStart w:id="132" w:name="_Toc16070"/>
      <w:bookmarkStart w:id="133" w:name="_Toc30577"/>
      <w:bookmarkStart w:id="134" w:name="_Toc24664"/>
      <w:bookmarkStart w:id="135" w:name="_Toc23307"/>
      <w:bookmarkStart w:id="136" w:name="_Toc2565"/>
      <w:bookmarkStart w:id="137" w:name="_Toc25496"/>
      <w:bookmarkStart w:id="138" w:name="_Toc19873"/>
      <w:bookmarkStart w:id="139" w:name="_Toc32240"/>
      <w:r>
        <w:rPr>
          <w:rFonts w:hint="eastAsia"/>
        </w:rPr>
        <w:t>：2020年从业人员和公众网民网络安全感评价比较</w:t>
      </w:r>
      <w:bookmarkEnd w:id="131"/>
      <w:bookmarkEnd w:id="132"/>
      <w:bookmarkEnd w:id="133"/>
      <w:bookmarkEnd w:id="134"/>
      <w:bookmarkEnd w:id="135"/>
      <w:bookmarkEnd w:id="136"/>
      <w:bookmarkEnd w:id="137"/>
      <w:bookmarkEnd w:id="138"/>
      <w:bookmarkEnd w:id="139"/>
    </w:p>
    <w:p>
      <w:r>
        <w:rPr>
          <w:rFonts w:hint="eastAsia"/>
        </w:rPr>
        <w:t>（2）从业人员对网络安全感的变化的评价</w:t>
      </w:r>
    </w:p>
    <w:p>
      <w:r>
        <w:rPr>
          <w:rFonts w:hint="eastAsia"/>
        </w:rPr>
        <w:t>从业人员认为与去年相比网络安全感有较明显的提升。其中29.99%的网民认为网络安全感有明显提升，46.96%网民认为有略有改善，两者相加达76.95%，超过四分之三的网民认为网络安全感有提升。</w:t>
      </w:r>
    </w:p>
    <w:p>
      <w:pPr>
        <w:ind w:firstLine="0" w:firstLineChars="0"/>
        <w:jc w:val="center"/>
      </w:pPr>
      <w:r>
        <w:drawing>
          <wp:inline distT="0" distB="0" distL="114300" distR="114300">
            <wp:extent cx="4996180" cy="2761615"/>
            <wp:effectExtent l="4445" t="4445" r="9525" b="15240"/>
            <wp:docPr id="1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jc w:val="center"/>
      </w:pPr>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8</w:t>
      </w:r>
      <w:r>
        <w:rPr>
          <w:rFonts w:hint="eastAsia"/>
        </w:rPr>
        <w:fldChar w:fldCharType="end"/>
      </w:r>
      <w:bookmarkStart w:id="140" w:name="_Toc21726"/>
      <w:bookmarkStart w:id="141" w:name="_Toc29819"/>
      <w:bookmarkStart w:id="142" w:name="_Toc12538"/>
      <w:bookmarkStart w:id="143" w:name="_Toc613"/>
      <w:bookmarkStart w:id="144" w:name="_Toc5045"/>
      <w:bookmarkStart w:id="145" w:name="_Toc16312"/>
      <w:bookmarkStart w:id="146" w:name="_Toc31497"/>
      <w:bookmarkStart w:id="147" w:name="_Toc32430"/>
      <w:bookmarkStart w:id="148" w:name="_Toc10162"/>
      <w:r>
        <w:rPr>
          <w:rFonts w:hint="eastAsia"/>
        </w:rPr>
        <w:t>：</w:t>
      </w:r>
      <w:bookmarkEnd w:id="140"/>
      <w:r>
        <w:rPr>
          <w:rFonts w:hint="eastAsia"/>
        </w:rPr>
        <w:t>网民对安全感变化的评价</w:t>
      </w:r>
      <w:bookmarkEnd w:id="141"/>
      <w:bookmarkEnd w:id="142"/>
      <w:bookmarkEnd w:id="143"/>
      <w:bookmarkEnd w:id="144"/>
      <w:bookmarkEnd w:id="145"/>
      <w:bookmarkEnd w:id="146"/>
      <w:bookmarkEnd w:id="147"/>
      <w:bookmarkEnd w:id="148"/>
    </w:p>
    <w:p>
      <w:pPr>
        <w:ind w:firstLine="0" w:firstLineChars="0"/>
      </w:pPr>
      <w:r>
        <w:rPr>
          <w:rFonts w:hint="eastAsia"/>
        </w:rPr>
        <w:t>（图表数据来源：从业人员版一级问卷第7题：与去年相比，您使用网络时安全感是否有变化？）</w:t>
      </w:r>
    </w:p>
    <w:p>
      <w:r>
        <w:rPr>
          <w:rFonts w:hint="eastAsia"/>
        </w:rPr>
        <w:t>2020年从业人员和公众网民安全变化感受评价相比，认为有改善的比例略有下降，认为没有变化的从业人员比公众网民低25.9个百分点。</w:t>
      </w:r>
    </w:p>
    <w:p>
      <w:r>
        <w:drawing>
          <wp:inline distT="0" distB="0" distL="114300" distR="114300">
            <wp:extent cx="4926330" cy="2531745"/>
            <wp:effectExtent l="4445" t="4445" r="22225" b="16510"/>
            <wp:docPr id="14"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pStyle w:val="5"/>
        <w:jc w:val="center"/>
      </w:pPr>
      <w:bookmarkStart w:id="149" w:name="_Toc19305600"/>
      <w:bookmarkStart w:id="150" w:name="_Toc19203695"/>
      <w:bookmarkStart w:id="151" w:name="_Toc5976"/>
      <w:bookmarkStart w:id="152" w:name="_Toc48724965"/>
      <w:r>
        <w:t xml:space="preserve">图表 </w:t>
      </w:r>
      <w:r>
        <w:fldChar w:fldCharType="begin"/>
      </w:r>
      <w:r>
        <w:instrText xml:space="preserve"> SEQ 图表 \* ARABIC </w:instrText>
      </w:r>
      <w:r>
        <w:fldChar w:fldCharType="separate"/>
      </w:r>
      <w:r>
        <w:t>9</w:t>
      </w:r>
      <w:r>
        <w:fldChar w:fldCharType="end"/>
      </w:r>
      <w:bookmarkStart w:id="153" w:name="_Toc6224"/>
      <w:bookmarkStart w:id="154" w:name="_Toc3840"/>
      <w:bookmarkStart w:id="155" w:name="_Toc21891"/>
      <w:bookmarkStart w:id="156" w:name="_Toc27703"/>
      <w:bookmarkStart w:id="157" w:name="_Toc32329"/>
      <w:bookmarkStart w:id="158" w:name="_Toc4990"/>
      <w:bookmarkStart w:id="159" w:name="_Toc29951"/>
      <w:bookmarkStart w:id="160" w:name="_Toc15284"/>
      <w:r>
        <w:rPr>
          <w:rFonts w:hint="eastAsia"/>
        </w:rPr>
        <w:t>：从业人员-公众网民对安全感变化的评价</w:t>
      </w:r>
      <w:bookmarkEnd w:id="149"/>
      <w:bookmarkEnd w:id="150"/>
      <w:r>
        <w:rPr>
          <w:rFonts w:hint="eastAsia"/>
        </w:rPr>
        <w:t>比较</w:t>
      </w:r>
      <w:bookmarkEnd w:id="151"/>
      <w:bookmarkEnd w:id="152"/>
      <w:bookmarkEnd w:id="153"/>
      <w:bookmarkEnd w:id="154"/>
      <w:bookmarkEnd w:id="155"/>
      <w:bookmarkEnd w:id="156"/>
      <w:bookmarkEnd w:id="157"/>
      <w:bookmarkEnd w:id="158"/>
      <w:bookmarkEnd w:id="159"/>
      <w:bookmarkEnd w:id="160"/>
    </w:p>
    <w:p/>
    <w:p>
      <w:pPr>
        <w:pStyle w:val="3"/>
      </w:pPr>
      <w:bookmarkStart w:id="161" w:name="_Toc30170"/>
      <w:bookmarkStart w:id="162" w:name="_Toc19207414"/>
      <w:r>
        <w:rPr>
          <w:rFonts w:hint="eastAsia"/>
        </w:rPr>
        <w:t>4.2网络安全态势感受</w:t>
      </w:r>
      <w:bookmarkEnd w:id="161"/>
      <w:bookmarkEnd w:id="162"/>
    </w:p>
    <w:p>
      <w:r>
        <w:rPr>
          <w:rFonts w:hint="eastAsia"/>
        </w:rPr>
        <w:t>（1）工作中常遇到的安全威胁</w:t>
      </w:r>
    </w:p>
    <w:p>
      <w:pPr>
        <w:rPr>
          <w:rFonts w:asciiTheme="minorEastAsia" w:hAnsiTheme="minorEastAsia"/>
        </w:rPr>
      </w:pPr>
      <w:r>
        <w:t>51.63%</w:t>
      </w:r>
      <w:r>
        <w:rPr>
          <w:rFonts w:hint="eastAsia" w:asciiTheme="minorEastAsia" w:hAnsiTheme="minorEastAsia"/>
        </w:rPr>
        <w:t>的从业人员在工作中最常遇到的网络安全问题是恶意网络资源（恶意IP地址、恶意域名、恶意URL、网络钓鱼等），</w:t>
      </w:r>
      <w:r>
        <w:t>46.22%</w:t>
      </w:r>
      <w:r>
        <w:rPr>
          <w:rFonts w:hint="eastAsia" w:asciiTheme="minorEastAsia" w:hAnsiTheme="minorEastAsia"/>
        </w:rPr>
        <w:t>从业人员遇到安全隐患（硬件漏洞、代码漏洞、业务逻辑漏洞、弱口令、后门等），恶意程序（勒索病毒、挖矿勒索、供应链木马、蠕虫病毒、僵尸网络等）遇到率为</w:t>
      </w:r>
      <w:r>
        <w:t>45.11%</w:t>
      </w:r>
      <w:r>
        <w:rPr>
          <w:rFonts w:hint="eastAsia" w:asciiTheme="minorEastAsia" w:hAnsiTheme="minorEastAsia"/>
        </w:rPr>
        <w:t>，安全事件（主机受控、数据泄露、网页篡改、网络监听等）遇到率为</w:t>
      </w:r>
      <w:r>
        <w:t>43.76%</w:t>
      </w:r>
      <w:r>
        <w:rPr>
          <w:rFonts w:hint="eastAsia" w:asciiTheme="minorEastAsia" w:hAnsiTheme="minorEastAsia"/>
        </w:rPr>
        <w:t>。相较于全国数据，顺序基本一致。</w:t>
      </w:r>
    </w:p>
    <w:p>
      <w:pPr>
        <w:ind w:firstLine="0" w:firstLineChars="0"/>
        <w:jc w:val="center"/>
      </w:pPr>
      <w:r>
        <w:drawing>
          <wp:inline distT="0" distB="0" distL="114300" distR="114300">
            <wp:extent cx="5099050" cy="2985770"/>
            <wp:effectExtent l="4445" t="4445" r="20955" b="19685"/>
            <wp:docPr id="1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pStyle w:val="5"/>
        <w:jc w:val="center"/>
      </w:pPr>
      <w:bookmarkStart w:id="163" w:name="_Toc19305608"/>
      <w:bookmarkStart w:id="164" w:name="_Toc19203702"/>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10</w:t>
      </w:r>
      <w:r>
        <w:rPr>
          <w:rFonts w:hint="eastAsia"/>
        </w:rPr>
        <w:fldChar w:fldCharType="end"/>
      </w:r>
      <w:bookmarkStart w:id="165" w:name="_Toc5385"/>
      <w:bookmarkStart w:id="166" w:name="_Toc24589"/>
      <w:bookmarkStart w:id="167" w:name="_Toc18882"/>
      <w:bookmarkStart w:id="168" w:name="_Toc3082"/>
      <w:bookmarkStart w:id="169" w:name="_Toc5307"/>
      <w:bookmarkStart w:id="170" w:name="_Toc32079"/>
      <w:bookmarkStart w:id="171" w:name="_Toc13458"/>
      <w:bookmarkStart w:id="172" w:name="_Toc23418"/>
      <w:bookmarkStart w:id="173" w:name="_Toc1356"/>
      <w:r>
        <w:rPr>
          <w:rFonts w:hint="eastAsia"/>
        </w:rPr>
        <w:t>：在工作中最常面对的网络安全威胁遇到率图</w:t>
      </w:r>
      <w:bookmarkEnd w:id="163"/>
      <w:bookmarkEnd w:id="164"/>
      <w:bookmarkEnd w:id="165"/>
      <w:bookmarkEnd w:id="166"/>
      <w:bookmarkEnd w:id="167"/>
      <w:bookmarkEnd w:id="168"/>
      <w:bookmarkEnd w:id="169"/>
      <w:bookmarkEnd w:id="170"/>
      <w:bookmarkEnd w:id="171"/>
      <w:bookmarkEnd w:id="172"/>
      <w:bookmarkEnd w:id="173"/>
    </w:p>
    <w:p>
      <w:pPr>
        <w:ind w:firstLine="0" w:firstLineChars="0"/>
      </w:pPr>
      <w:r>
        <w:rPr>
          <w:rFonts w:hint="eastAsia"/>
        </w:rPr>
        <w:t>（图表数据来源：从业人员版主问卷第8题.您在工作中最常面对和处理的网络安全威胁是？（多选））</w:t>
      </w:r>
    </w:p>
    <w:p/>
    <w:p>
      <w:r>
        <w:rPr>
          <w:rFonts w:hint="eastAsia"/>
        </w:rPr>
        <w:t>（2）网络安全事件频繁出现的原因</w:t>
      </w:r>
    </w:p>
    <w:p>
      <w:r>
        <w:rPr>
          <w:rFonts w:hint="eastAsia"/>
        </w:rPr>
        <w:t>从业人员认为网络安全事件频繁出现的原因排前五位是1攻击威胁，2缺少管理和风险评估机制，3网络安全人才和资金投入不足，4对第三方与供应商管理不到位，5内部威胁，关注度分别为：52.24%、50.71%、40.57%、35.53%、30.24%；反映了管理、威胁、投入等方面是主要的原因。</w:t>
      </w:r>
      <w:r>
        <w:rPr>
          <w:rFonts w:hint="eastAsia" w:asciiTheme="minorEastAsia" w:hAnsiTheme="minorEastAsia"/>
        </w:rPr>
        <w:t>相较于全国数据，顺序有所不同。</w:t>
      </w:r>
    </w:p>
    <w:p>
      <w:pPr>
        <w:pStyle w:val="6"/>
        <w:ind w:firstLine="0" w:firstLineChars="0"/>
        <w:jc w:val="center"/>
      </w:pPr>
      <w:r>
        <w:drawing>
          <wp:inline distT="0" distB="0" distL="114300" distR="114300">
            <wp:extent cx="5130800" cy="4462145"/>
            <wp:effectExtent l="4445" t="4445" r="8255" b="10160"/>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pStyle w:val="5"/>
        <w:jc w:val="center"/>
      </w:pPr>
      <w:bookmarkStart w:id="174" w:name="_Toc19203703"/>
      <w:bookmarkStart w:id="175" w:name="_Toc19305609"/>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11</w:t>
      </w:r>
      <w:r>
        <w:rPr>
          <w:rFonts w:hint="eastAsia"/>
        </w:rPr>
        <w:fldChar w:fldCharType="end"/>
      </w:r>
      <w:bookmarkStart w:id="176" w:name="_Toc10410"/>
      <w:bookmarkStart w:id="177" w:name="_Toc25525"/>
      <w:bookmarkStart w:id="178" w:name="_Toc28742"/>
      <w:bookmarkStart w:id="179" w:name="_Toc29250"/>
      <w:bookmarkStart w:id="180" w:name="_Toc11521"/>
      <w:bookmarkStart w:id="181" w:name="_Toc6066"/>
      <w:bookmarkStart w:id="182" w:name="_Toc25523"/>
      <w:bookmarkStart w:id="183" w:name="_Toc20764"/>
      <w:bookmarkStart w:id="184" w:name="_Toc21940"/>
      <w:r>
        <w:rPr>
          <w:rFonts w:hint="eastAsia"/>
        </w:rPr>
        <w:t>：网民遇到的违法有害信息</w:t>
      </w:r>
      <w:bookmarkEnd w:id="174"/>
      <w:bookmarkEnd w:id="175"/>
      <w:bookmarkEnd w:id="176"/>
      <w:bookmarkEnd w:id="177"/>
      <w:bookmarkEnd w:id="178"/>
      <w:bookmarkEnd w:id="179"/>
      <w:bookmarkEnd w:id="180"/>
      <w:bookmarkEnd w:id="181"/>
      <w:bookmarkEnd w:id="182"/>
      <w:bookmarkEnd w:id="183"/>
      <w:bookmarkEnd w:id="184"/>
    </w:p>
    <w:p>
      <w:pPr>
        <w:ind w:firstLine="0" w:firstLineChars="0"/>
      </w:pPr>
      <w:r>
        <w:rPr>
          <w:rFonts w:hint="eastAsia"/>
        </w:rPr>
        <w:t>（图表数据来源：从业人员版主问卷第9题：您认为造成网络安全事件频繁出现的主要原因是？）</w:t>
      </w:r>
    </w:p>
    <w:p>
      <w:pPr>
        <w:ind w:firstLine="0" w:firstLineChars="0"/>
      </w:pPr>
    </w:p>
    <w:p>
      <w:pPr>
        <w:pStyle w:val="3"/>
      </w:pPr>
      <w:bookmarkStart w:id="185" w:name="_Toc27460"/>
      <w:r>
        <w:rPr>
          <w:rFonts w:hint="eastAsia"/>
        </w:rPr>
        <w:t>4.3打击网络黑灰产业</w:t>
      </w:r>
      <w:bookmarkEnd w:id="185"/>
    </w:p>
    <w:p>
      <w:r>
        <w:rPr>
          <w:rFonts w:hint="eastAsia"/>
        </w:rPr>
        <w:t>（1）互联网黑灰产业活跃情况</w:t>
      </w:r>
    </w:p>
    <w:p>
      <w:r>
        <w:t>从业</w:t>
      </w:r>
      <w:r>
        <w:rPr>
          <w:rFonts w:hint="eastAsia"/>
        </w:rPr>
        <w:t>人员对互联网黑灰产业的活跃度变化的评价差别比较大，认为增加有43.88%，其中认为明显增加的有19.05%，略有增加有24.83%。认为减少的也有36.63%，而认为不了解也有10.69%。与全国数据相比较，认为没有变化的比例基本一致。</w:t>
      </w:r>
    </w:p>
    <w:p>
      <w:pPr>
        <w:ind w:firstLine="0" w:firstLineChars="0"/>
        <w:jc w:val="center"/>
      </w:pPr>
      <w:r>
        <w:drawing>
          <wp:inline distT="0" distB="0" distL="114300" distR="114300">
            <wp:extent cx="5004435" cy="3209925"/>
            <wp:effectExtent l="4445" t="4445" r="20320" b="5080"/>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pStyle w:val="5"/>
        <w:jc w:val="center"/>
      </w:pPr>
      <w:bookmarkStart w:id="186" w:name="_Toc19203704"/>
      <w:bookmarkStart w:id="187" w:name="_Toc19305610"/>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12</w:t>
      </w:r>
      <w:r>
        <w:rPr>
          <w:rFonts w:hint="eastAsia"/>
        </w:rPr>
        <w:fldChar w:fldCharType="end"/>
      </w:r>
      <w:bookmarkStart w:id="188" w:name="_Toc6845"/>
      <w:bookmarkStart w:id="189" w:name="_Toc25596"/>
      <w:bookmarkStart w:id="190" w:name="_Toc23810"/>
      <w:bookmarkStart w:id="191" w:name="_Toc3268"/>
      <w:bookmarkStart w:id="192" w:name="_Toc32384"/>
      <w:bookmarkStart w:id="193" w:name="_Toc31906"/>
      <w:bookmarkStart w:id="194" w:name="_Toc24879"/>
      <w:bookmarkStart w:id="195" w:name="_Toc18832"/>
      <w:bookmarkStart w:id="196" w:name="_Toc23369"/>
      <w:r>
        <w:rPr>
          <w:rFonts w:hint="eastAsia"/>
        </w:rPr>
        <w:t>：</w:t>
      </w:r>
      <w:bookmarkEnd w:id="186"/>
      <w:bookmarkEnd w:id="187"/>
      <w:r>
        <w:rPr>
          <w:rFonts w:hint="eastAsia"/>
        </w:rPr>
        <w:t>互联网黑灰产业活跃情况评价</w:t>
      </w:r>
      <w:bookmarkEnd w:id="188"/>
      <w:bookmarkEnd w:id="189"/>
      <w:bookmarkEnd w:id="190"/>
      <w:bookmarkEnd w:id="191"/>
      <w:bookmarkEnd w:id="192"/>
      <w:bookmarkEnd w:id="193"/>
      <w:bookmarkEnd w:id="194"/>
      <w:bookmarkEnd w:id="195"/>
      <w:bookmarkEnd w:id="196"/>
    </w:p>
    <w:p>
      <w:pPr>
        <w:ind w:firstLine="0" w:firstLineChars="0"/>
      </w:pPr>
      <w:r>
        <w:rPr>
          <w:rFonts w:hint="eastAsia"/>
        </w:rPr>
        <w:t>（图表数据来源：从业人员版主问卷第10题：您认为近年来网络数据、账号违法交易，网络色情等互联网黑灰产业的情况是？）</w:t>
      </w:r>
    </w:p>
    <w:p>
      <w:pPr>
        <w:ind w:firstLine="0" w:firstLineChars="0"/>
      </w:pPr>
    </w:p>
    <w:p>
      <w:r>
        <w:rPr>
          <w:rFonts w:hint="eastAsia"/>
        </w:rPr>
        <w:t>（2）常见的网络黑灰产业犯罪手法</w:t>
      </w:r>
    </w:p>
    <w:p>
      <w:r>
        <w:rPr>
          <w:rFonts w:hint="eastAsia"/>
        </w:rPr>
        <w:t>54.21%从业人员认为虚假流量最常见的网络黑灰产业犯罪手法。手机应用分发和“薅羊毛”等排二、三位，分别为48.13%和48.00%，暗扣话费和勒索病毒列四、五位。</w:t>
      </w:r>
      <w:r>
        <w:rPr>
          <w:rFonts w:hint="eastAsia" w:asciiTheme="minorEastAsia" w:hAnsiTheme="minorEastAsia"/>
        </w:rPr>
        <w:t>相较于全国数据，顺序有所不同。</w:t>
      </w:r>
    </w:p>
    <w:p>
      <w:pPr>
        <w:ind w:firstLine="0" w:firstLineChars="0"/>
        <w:jc w:val="center"/>
      </w:pPr>
      <w:r>
        <w:drawing>
          <wp:inline distT="0" distB="0" distL="114300" distR="114300">
            <wp:extent cx="5158740" cy="4232910"/>
            <wp:effectExtent l="4445" t="4445" r="18415" b="10795"/>
            <wp:docPr id="24"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5"/>
        <w:jc w:val="center"/>
      </w:pPr>
      <w:bookmarkStart w:id="197" w:name="_Toc19305611"/>
      <w:bookmarkStart w:id="198" w:name="_Toc19203705"/>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13</w:t>
      </w:r>
      <w:r>
        <w:rPr>
          <w:rFonts w:hint="eastAsia"/>
        </w:rPr>
        <w:fldChar w:fldCharType="end"/>
      </w:r>
      <w:bookmarkStart w:id="199" w:name="_Toc29351"/>
      <w:bookmarkStart w:id="200" w:name="_Toc28099"/>
      <w:bookmarkStart w:id="201" w:name="_Toc4616"/>
      <w:bookmarkStart w:id="202" w:name="_Toc29249"/>
      <w:bookmarkStart w:id="203" w:name="_Toc20277"/>
      <w:bookmarkStart w:id="204" w:name="_Toc24334"/>
      <w:bookmarkStart w:id="205" w:name="_Toc2452"/>
      <w:bookmarkStart w:id="206" w:name="_Toc21465"/>
      <w:bookmarkStart w:id="207" w:name="_Toc23506"/>
      <w:r>
        <w:rPr>
          <w:rFonts w:hint="eastAsia"/>
        </w:rPr>
        <w:t>：</w:t>
      </w:r>
      <w:bookmarkEnd w:id="197"/>
      <w:bookmarkEnd w:id="198"/>
      <w:r>
        <w:rPr>
          <w:rFonts w:hint="eastAsia"/>
        </w:rPr>
        <w:t>常见网络黑灰产业犯罪手法</w:t>
      </w:r>
      <w:bookmarkEnd w:id="199"/>
      <w:bookmarkEnd w:id="200"/>
      <w:bookmarkEnd w:id="201"/>
      <w:bookmarkEnd w:id="202"/>
      <w:bookmarkEnd w:id="203"/>
      <w:bookmarkEnd w:id="204"/>
      <w:bookmarkEnd w:id="205"/>
      <w:bookmarkEnd w:id="206"/>
      <w:bookmarkEnd w:id="207"/>
    </w:p>
    <w:p>
      <w:pPr>
        <w:ind w:firstLine="0" w:firstLineChars="0"/>
      </w:pPr>
      <w:r>
        <w:rPr>
          <w:rFonts w:hint="eastAsia"/>
        </w:rPr>
        <w:t>（图表数据来源：</w:t>
      </w:r>
      <w:bookmarkStart w:id="208" w:name="_Hlk48322068"/>
      <w:r>
        <w:rPr>
          <w:rFonts w:hint="eastAsia"/>
        </w:rPr>
        <w:t>从业人员版主问卷第11题：</w:t>
      </w:r>
      <w:bookmarkEnd w:id="208"/>
      <w:r>
        <w:rPr>
          <w:rFonts w:hint="eastAsia"/>
        </w:rPr>
        <w:t>以下哪些网络黑灰产犯罪手法是您近一年常见的？）</w:t>
      </w:r>
    </w:p>
    <w:p>
      <w:pPr>
        <w:ind w:firstLine="0" w:firstLineChars="0"/>
      </w:pPr>
    </w:p>
    <w:p>
      <w:r>
        <w:rPr>
          <w:rFonts w:hint="eastAsia"/>
        </w:rPr>
        <w:t>（3）“刷流量”、“网络水军”的现象屡禁不绝的原因</w:t>
      </w:r>
    </w:p>
    <w:p>
      <w:r>
        <w:rPr>
          <w:rFonts w:hint="eastAsia"/>
        </w:rPr>
        <w:t>74.49%的从业人员认为利益驱动，相关法律欠缺、监管力度不够、平台管理漏洞则位列2、3、4位，关注度分别位70.13%、68.72%、59.86%。</w:t>
      </w:r>
      <w:r>
        <w:rPr>
          <w:rFonts w:hint="eastAsia" w:asciiTheme="minorEastAsia" w:hAnsiTheme="minorEastAsia"/>
        </w:rPr>
        <w:t>相较于全国数据，顺序有所不同。</w:t>
      </w:r>
    </w:p>
    <w:p>
      <w:pPr>
        <w:ind w:firstLine="0" w:firstLineChars="0"/>
        <w:jc w:val="center"/>
        <w:rPr>
          <w:sz w:val="21"/>
        </w:rPr>
      </w:pPr>
      <w:r>
        <w:drawing>
          <wp:inline distT="0" distB="0" distL="114300" distR="114300">
            <wp:extent cx="4969510" cy="2952750"/>
            <wp:effectExtent l="4445" t="4445" r="17145" b="14605"/>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pStyle w:val="5"/>
        <w:jc w:val="center"/>
      </w:pPr>
      <w:bookmarkStart w:id="209" w:name="_Toc19203706"/>
      <w:bookmarkStart w:id="210" w:name="_Toc19305612"/>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14</w:t>
      </w:r>
      <w:r>
        <w:rPr>
          <w:rFonts w:hint="eastAsia"/>
        </w:rPr>
        <w:fldChar w:fldCharType="end"/>
      </w:r>
      <w:bookmarkStart w:id="211" w:name="_Toc22719"/>
      <w:bookmarkStart w:id="212" w:name="_Toc7604"/>
      <w:bookmarkStart w:id="213" w:name="_Toc1497"/>
      <w:bookmarkStart w:id="214" w:name="_Toc27610"/>
      <w:bookmarkStart w:id="215" w:name="_Toc29934"/>
      <w:bookmarkStart w:id="216" w:name="_Toc25945"/>
      <w:bookmarkStart w:id="217" w:name="_Toc6314"/>
      <w:bookmarkStart w:id="218" w:name="_Toc16063"/>
      <w:bookmarkStart w:id="219" w:name="_Toc14055"/>
      <w:r>
        <w:rPr>
          <w:rFonts w:hint="eastAsia"/>
        </w:rPr>
        <w:t>：</w:t>
      </w:r>
      <w:bookmarkEnd w:id="209"/>
      <w:bookmarkEnd w:id="210"/>
      <w:r>
        <w:rPr>
          <w:rFonts w:hint="eastAsia"/>
        </w:rPr>
        <w:t>刷流量网络水军现象屡禁不绝的原因</w:t>
      </w:r>
      <w:bookmarkEnd w:id="211"/>
      <w:bookmarkEnd w:id="212"/>
      <w:bookmarkEnd w:id="213"/>
      <w:bookmarkEnd w:id="214"/>
      <w:bookmarkEnd w:id="215"/>
      <w:bookmarkEnd w:id="216"/>
      <w:bookmarkEnd w:id="217"/>
      <w:bookmarkEnd w:id="218"/>
      <w:bookmarkEnd w:id="219"/>
    </w:p>
    <w:p>
      <w:pPr>
        <w:ind w:firstLine="0" w:firstLineChars="0"/>
      </w:pPr>
      <w:r>
        <w:rPr>
          <w:rFonts w:hint="eastAsia"/>
        </w:rPr>
        <w:t>（图表数据来源：从业人员版主问卷第12题：您认为“刷流量”、“网络水军”的现象为何屡禁不绝？）</w:t>
      </w:r>
    </w:p>
    <w:p/>
    <w:p>
      <w:r>
        <w:rPr>
          <w:rFonts w:hint="eastAsia"/>
        </w:rPr>
        <w:t>（4）整治网络黑灰产业的关键</w:t>
      </w:r>
    </w:p>
    <w:p>
      <w:pPr>
        <w:rPr>
          <w:rFonts w:asciiTheme="minorEastAsia" w:hAnsiTheme="minorEastAsia"/>
        </w:rPr>
      </w:pPr>
      <w:r>
        <w:rPr>
          <w:rFonts w:hint="eastAsia"/>
        </w:rPr>
        <w:t>68.65%从业人员认为从信息链条入手最关键，流量链条、推广链条、帐号链条、资金链条分列2、3、4、5位，关注度分别位57.10%、56.05%、54.70%、51.01%。</w:t>
      </w:r>
      <w:r>
        <w:rPr>
          <w:rFonts w:hint="eastAsia" w:asciiTheme="minorEastAsia" w:hAnsiTheme="minorEastAsia"/>
        </w:rPr>
        <w:t>相较于全国数据，顺序有所不同。</w:t>
      </w:r>
    </w:p>
    <w:p>
      <w:pPr>
        <w:ind w:firstLine="0" w:firstLineChars="0"/>
        <w:jc w:val="center"/>
      </w:pPr>
      <w:r>
        <w:drawing>
          <wp:inline distT="0" distB="0" distL="114300" distR="114300">
            <wp:extent cx="5185410" cy="2845435"/>
            <wp:effectExtent l="4445" t="4445" r="10795" b="7620"/>
            <wp:docPr id="25"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pStyle w:val="5"/>
        <w:jc w:val="center"/>
      </w:pPr>
      <w:bookmarkStart w:id="220" w:name="_Toc19305613"/>
      <w:bookmarkStart w:id="221" w:name="_Toc19203707"/>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15</w:t>
      </w:r>
      <w:r>
        <w:rPr>
          <w:rFonts w:hint="eastAsia"/>
        </w:rPr>
        <w:fldChar w:fldCharType="end"/>
      </w:r>
      <w:bookmarkStart w:id="222" w:name="_Toc12485"/>
      <w:bookmarkStart w:id="223" w:name="_Toc14007"/>
      <w:bookmarkStart w:id="224" w:name="_Toc17557"/>
      <w:bookmarkStart w:id="225" w:name="_Toc5286"/>
      <w:bookmarkStart w:id="226" w:name="_Toc25046"/>
      <w:bookmarkStart w:id="227" w:name="_Toc5007"/>
      <w:bookmarkStart w:id="228" w:name="_Toc8564"/>
      <w:bookmarkStart w:id="229" w:name="_Toc3074"/>
      <w:bookmarkStart w:id="230" w:name="_Toc32291"/>
      <w:r>
        <w:rPr>
          <w:rFonts w:hint="eastAsia"/>
        </w:rPr>
        <w:t>：</w:t>
      </w:r>
      <w:bookmarkEnd w:id="220"/>
      <w:bookmarkEnd w:id="221"/>
      <w:r>
        <w:rPr>
          <w:rFonts w:hint="eastAsia"/>
        </w:rPr>
        <w:t>整治网络黑灰产业关键手段评价</w:t>
      </w:r>
      <w:bookmarkEnd w:id="222"/>
      <w:bookmarkEnd w:id="223"/>
      <w:bookmarkEnd w:id="224"/>
      <w:bookmarkEnd w:id="225"/>
      <w:bookmarkEnd w:id="226"/>
      <w:bookmarkEnd w:id="227"/>
      <w:bookmarkEnd w:id="228"/>
      <w:bookmarkEnd w:id="229"/>
      <w:bookmarkEnd w:id="230"/>
    </w:p>
    <w:p>
      <w:pPr>
        <w:ind w:firstLine="0" w:firstLineChars="0"/>
      </w:pPr>
      <w:r>
        <w:rPr>
          <w:rFonts w:hint="eastAsia"/>
        </w:rPr>
        <w:t>（图表数据来源：从业人员版主问卷第13题：</w:t>
      </w:r>
      <w:r>
        <w:rPr>
          <w:rFonts w:hint="eastAsia"/>
          <w:color w:val="000000"/>
        </w:rPr>
        <w:t>您认为整治网络黑灰产业，从哪些链条入手最关键？</w:t>
      </w:r>
      <w:r>
        <w:rPr>
          <w:rFonts w:hint="eastAsia"/>
        </w:rPr>
        <w:t>）</w:t>
      </w:r>
    </w:p>
    <w:p/>
    <w:p>
      <w:pPr>
        <w:pStyle w:val="3"/>
      </w:pPr>
      <w:bookmarkStart w:id="231" w:name="_Toc19207415"/>
      <w:bookmarkStart w:id="232" w:name="_Toc19318"/>
      <w:r>
        <w:rPr>
          <w:rFonts w:hint="eastAsia"/>
        </w:rPr>
        <w:t>4.</w:t>
      </w:r>
      <w:bookmarkEnd w:id="231"/>
      <w:r>
        <w:rPr>
          <w:rFonts w:hint="eastAsia"/>
        </w:rPr>
        <w:t>4网络安全的治理</w:t>
      </w:r>
      <w:bookmarkEnd w:id="232"/>
    </w:p>
    <w:p>
      <w:r>
        <w:rPr>
          <w:rFonts w:hint="eastAsia"/>
        </w:rPr>
        <w:t>（1）网络安全最突出的问题</w:t>
      </w:r>
    </w:p>
    <w:p>
      <w:r>
        <w:rPr>
          <w:rFonts w:hint="eastAsia"/>
        </w:rPr>
        <w:t>85.68%的从业人员认为网络安全最突出或亟需治理的问题是信息泄露。网络诈骗、网络骚扰分别列2、3位，关注度达72.34%和68.59%。网络谣言与诽谤、网络赌博、网络色情、网络支付陷阱与恶意吸费关注度也比较高，分别为61.83%、55.01%、52.30%、50.09%。显示信息保护、打击诈骗、网络欺凌、打击涉黄涉赌等是主要的痛点。</w:t>
      </w:r>
      <w:r>
        <w:rPr>
          <w:rFonts w:hint="eastAsia" w:asciiTheme="minorEastAsia" w:hAnsiTheme="minorEastAsia"/>
        </w:rPr>
        <w:t>相较于全国数据，顺序有所不同。</w:t>
      </w:r>
    </w:p>
    <w:p>
      <w:pPr>
        <w:ind w:firstLine="0" w:firstLineChars="0"/>
        <w:jc w:val="center"/>
      </w:pPr>
      <w:r>
        <w:drawing>
          <wp:inline distT="0" distB="0" distL="114300" distR="114300">
            <wp:extent cx="5363210" cy="4923790"/>
            <wp:effectExtent l="4445" t="4445" r="23495" b="5715"/>
            <wp:docPr id="15"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pStyle w:val="5"/>
        <w:jc w:val="center"/>
      </w:pPr>
      <w:bookmarkStart w:id="233" w:name="_Toc19203708"/>
      <w:bookmarkStart w:id="234" w:name="_Toc19305614"/>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16</w:t>
      </w:r>
      <w:r>
        <w:rPr>
          <w:rFonts w:hint="eastAsia"/>
        </w:rPr>
        <w:fldChar w:fldCharType="end"/>
      </w:r>
      <w:bookmarkStart w:id="235" w:name="_Toc25828"/>
      <w:bookmarkStart w:id="236" w:name="_Toc16163"/>
      <w:bookmarkStart w:id="237" w:name="_Toc27862"/>
      <w:bookmarkStart w:id="238" w:name="_Toc5743"/>
      <w:bookmarkStart w:id="239" w:name="_Toc30779"/>
      <w:bookmarkStart w:id="240" w:name="_Toc3564"/>
      <w:bookmarkStart w:id="241" w:name="_Toc17921"/>
      <w:bookmarkStart w:id="242" w:name="_Toc9270"/>
      <w:bookmarkStart w:id="243" w:name="_Toc209"/>
      <w:r>
        <w:rPr>
          <w:rFonts w:hint="eastAsia"/>
        </w:rPr>
        <w:t>：</w:t>
      </w:r>
      <w:bookmarkEnd w:id="233"/>
      <w:bookmarkEnd w:id="234"/>
      <w:r>
        <w:rPr>
          <w:rFonts w:hint="eastAsia"/>
        </w:rPr>
        <w:t>网络安全最突出或亟需治理的问题</w:t>
      </w:r>
      <w:bookmarkEnd w:id="235"/>
      <w:bookmarkEnd w:id="236"/>
      <w:bookmarkEnd w:id="237"/>
      <w:bookmarkEnd w:id="238"/>
      <w:bookmarkEnd w:id="239"/>
      <w:bookmarkEnd w:id="240"/>
      <w:bookmarkEnd w:id="241"/>
      <w:bookmarkEnd w:id="242"/>
      <w:bookmarkEnd w:id="243"/>
    </w:p>
    <w:p>
      <w:pPr>
        <w:ind w:firstLine="0" w:firstLineChars="0"/>
      </w:pPr>
      <w:r>
        <w:rPr>
          <w:rFonts w:hint="eastAsia"/>
        </w:rPr>
        <w:t>（图表数据来源：从业人员版主问卷第14题：您认为当前网络安全最突出或亟待治理的问题有哪些？）</w:t>
      </w:r>
    </w:p>
    <w:p/>
    <w:p>
      <w:r>
        <w:rPr>
          <w:rFonts w:hint="eastAsia"/>
        </w:rPr>
        <w:t>（2）维护网络安全的措施</w:t>
      </w:r>
    </w:p>
    <w:p>
      <w:r>
        <w:rPr>
          <w:rFonts w:hint="eastAsia"/>
        </w:rPr>
        <w:t>从业人员认为维护网络安全的最需要采取的措施有：1加强网络安全法制建设（80.70%）、2强化网络安全监管（67.42%）、3严厉打击网络违法犯罪行为（63.68%）、4贯彻落实网络安全等级保护制度（63.25%）、5将网络失信行为纳入信用管理（58.51%）、6、落实网络平台主体责任（57.16%）。</w:t>
      </w:r>
      <w:r>
        <w:rPr>
          <w:rFonts w:hint="eastAsia" w:asciiTheme="minorEastAsia" w:hAnsiTheme="minorEastAsia"/>
        </w:rPr>
        <w:t>相较于全国数据，顺序有所不同。</w:t>
      </w:r>
    </w:p>
    <w:p>
      <w:pPr>
        <w:ind w:firstLine="0" w:firstLineChars="0"/>
        <w:jc w:val="center"/>
      </w:pPr>
      <w:r>
        <w:drawing>
          <wp:inline distT="0" distB="0" distL="114300" distR="114300">
            <wp:extent cx="5309235" cy="5040630"/>
            <wp:effectExtent l="4445" t="4445" r="20320" b="22225"/>
            <wp:docPr id="26"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pStyle w:val="5"/>
        <w:jc w:val="center"/>
      </w:pPr>
      <w:bookmarkStart w:id="244" w:name="_Toc19305615"/>
      <w:bookmarkStart w:id="245" w:name="_Toc19203709"/>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17</w:t>
      </w:r>
      <w:r>
        <w:rPr>
          <w:rFonts w:hint="eastAsia"/>
        </w:rPr>
        <w:fldChar w:fldCharType="end"/>
      </w:r>
      <w:bookmarkStart w:id="246" w:name="_Toc7980"/>
      <w:bookmarkStart w:id="247" w:name="_Toc10570"/>
      <w:bookmarkStart w:id="248" w:name="_Toc18949"/>
      <w:bookmarkStart w:id="249" w:name="_Toc7357"/>
      <w:bookmarkStart w:id="250" w:name="_Toc16600"/>
      <w:bookmarkStart w:id="251" w:name="_Toc22099"/>
      <w:bookmarkStart w:id="252" w:name="_Toc4730"/>
      <w:bookmarkStart w:id="253" w:name="_Toc18689"/>
      <w:bookmarkStart w:id="254" w:name="_Toc13556"/>
      <w:r>
        <w:rPr>
          <w:rFonts w:hint="eastAsia"/>
        </w:rPr>
        <w:t>：</w:t>
      </w:r>
      <w:bookmarkEnd w:id="244"/>
      <w:bookmarkEnd w:id="245"/>
      <w:r>
        <w:rPr>
          <w:rFonts w:hint="eastAsia"/>
        </w:rPr>
        <w:t>维护网络安全最需要采取的措施</w:t>
      </w:r>
      <w:bookmarkEnd w:id="246"/>
      <w:bookmarkEnd w:id="247"/>
      <w:bookmarkEnd w:id="248"/>
      <w:bookmarkEnd w:id="249"/>
      <w:bookmarkEnd w:id="250"/>
      <w:bookmarkEnd w:id="251"/>
      <w:bookmarkEnd w:id="252"/>
      <w:bookmarkEnd w:id="253"/>
      <w:bookmarkEnd w:id="254"/>
    </w:p>
    <w:p>
      <w:pPr>
        <w:ind w:firstLine="0" w:firstLineChars="0"/>
      </w:pPr>
      <w:r>
        <w:rPr>
          <w:rFonts w:hint="eastAsia"/>
        </w:rPr>
        <w:t>（图表数据来源：</w:t>
      </w:r>
      <w:bookmarkStart w:id="255" w:name="_Hlk48325143"/>
      <w:r>
        <w:rPr>
          <w:rFonts w:hint="eastAsia"/>
        </w:rPr>
        <w:t>从业人员版主问卷第15题：</w:t>
      </w:r>
      <w:bookmarkEnd w:id="255"/>
      <w:r>
        <w:rPr>
          <w:rFonts w:hint="eastAsia"/>
        </w:rPr>
        <w:t>您认为维护网络安全最需要采取哪些措施？）</w:t>
      </w:r>
    </w:p>
    <w:p/>
    <w:p>
      <w:r>
        <w:rPr>
          <w:rFonts w:hint="eastAsia"/>
        </w:rPr>
        <w:t>（3）加强网络安全立法</w:t>
      </w:r>
    </w:p>
    <w:p>
      <w:r>
        <w:rPr>
          <w:rFonts w:hint="eastAsia"/>
        </w:rPr>
        <w:t>从业人员对加强网络安全立法的内容的关注点主要在：1个人信息保护（80.15%）、2网络平台责任（66.56%）、3网络违法犯罪防治（52.49%）。未成年人上网保护、网络安全各领域监管、关键信息基础设施保护、关网络安全等级保护等方面立法关注度也比较高。</w:t>
      </w:r>
      <w:r>
        <w:rPr>
          <w:rFonts w:hint="eastAsia" w:asciiTheme="minorEastAsia" w:hAnsiTheme="minorEastAsia"/>
        </w:rPr>
        <w:t>相较于全国数据，顺序有所不同。</w:t>
      </w:r>
    </w:p>
    <w:p>
      <w:pPr>
        <w:ind w:firstLine="0" w:firstLineChars="0"/>
      </w:pPr>
      <w:r>
        <w:drawing>
          <wp:inline distT="0" distB="0" distL="114300" distR="114300">
            <wp:extent cx="5299710" cy="5596890"/>
            <wp:effectExtent l="4445" t="4445" r="10795" b="18415"/>
            <wp:docPr id="27"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pStyle w:val="5"/>
        <w:jc w:val="center"/>
      </w:pPr>
      <w:bookmarkStart w:id="256" w:name="_Toc19305616"/>
      <w:bookmarkStart w:id="257" w:name="_Toc19203710"/>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18</w:t>
      </w:r>
      <w:r>
        <w:rPr>
          <w:rFonts w:hint="eastAsia"/>
        </w:rPr>
        <w:fldChar w:fldCharType="end"/>
      </w:r>
      <w:bookmarkStart w:id="258" w:name="_Toc24701"/>
      <w:bookmarkStart w:id="259" w:name="_Toc17177"/>
      <w:bookmarkStart w:id="260" w:name="_Toc14454"/>
      <w:bookmarkStart w:id="261" w:name="_Toc17529"/>
      <w:bookmarkStart w:id="262" w:name="_Toc2957"/>
      <w:bookmarkStart w:id="263" w:name="_Toc31876"/>
      <w:bookmarkStart w:id="264" w:name="_Toc1206"/>
      <w:bookmarkStart w:id="265" w:name="_Toc29252"/>
      <w:bookmarkStart w:id="266" w:name="_Toc21613"/>
      <w:r>
        <w:rPr>
          <w:rFonts w:hint="eastAsia"/>
        </w:rPr>
        <w:t>：</w:t>
      </w:r>
      <w:bookmarkEnd w:id="256"/>
      <w:bookmarkEnd w:id="257"/>
      <w:r>
        <w:rPr>
          <w:rFonts w:hint="eastAsia"/>
        </w:rPr>
        <w:t>亟待加强的网络安全立法内容</w:t>
      </w:r>
      <w:bookmarkEnd w:id="258"/>
      <w:bookmarkEnd w:id="259"/>
      <w:bookmarkEnd w:id="260"/>
      <w:bookmarkEnd w:id="261"/>
      <w:bookmarkEnd w:id="262"/>
      <w:bookmarkEnd w:id="263"/>
      <w:bookmarkEnd w:id="264"/>
      <w:bookmarkEnd w:id="265"/>
      <w:bookmarkEnd w:id="266"/>
    </w:p>
    <w:p>
      <w:pPr>
        <w:ind w:firstLine="0" w:firstLineChars="0"/>
      </w:pPr>
      <w:r>
        <w:rPr>
          <w:rFonts w:hint="eastAsia"/>
        </w:rPr>
        <w:t>（图表数据来源：从业人员版主问卷第16题：您认为亟待加强的网络安全立法内容有哪些？）</w:t>
      </w:r>
    </w:p>
    <w:p/>
    <w:p>
      <w:r>
        <w:rPr>
          <w:rFonts w:hint="eastAsia"/>
        </w:rPr>
        <w:t>（4）网络安全管理部门的认知度</w:t>
      </w:r>
    </w:p>
    <w:p>
      <w:r>
        <w:rPr>
          <w:rFonts w:hint="eastAsia"/>
        </w:rPr>
        <w:t>从业人员对网络安全管理部门的认知度排列为：网信（87.28%）、公安（69.39%）、工信（46.34%）、国安（46.34%）。</w:t>
      </w:r>
      <w:r>
        <w:rPr>
          <w:rFonts w:hint="eastAsia" w:asciiTheme="minorEastAsia" w:hAnsiTheme="minorEastAsia"/>
        </w:rPr>
        <w:t>相较于全国数据，网信的比例比全国高出13.51个百分点。</w:t>
      </w:r>
    </w:p>
    <w:p>
      <w:pPr>
        <w:ind w:firstLine="0" w:firstLineChars="0"/>
        <w:jc w:val="center"/>
      </w:pPr>
      <w:r>
        <w:drawing>
          <wp:inline distT="0" distB="0" distL="114300" distR="114300">
            <wp:extent cx="5170805" cy="4029710"/>
            <wp:effectExtent l="4445" t="4445" r="6350" b="23495"/>
            <wp:docPr id="18"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pStyle w:val="5"/>
        <w:jc w:val="center"/>
      </w:pPr>
      <w:bookmarkStart w:id="267" w:name="_Toc19203711"/>
      <w:bookmarkStart w:id="268" w:name="_Toc19305617"/>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19</w:t>
      </w:r>
      <w:r>
        <w:rPr>
          <w:rFonts w:hint="eastAsia"/>
        </w:rPr>
        <w:fldChar w:fldCharType="end"/>
      </w:r>
      <w:bookmarkStart w:id="269" w:name="_Toc25001"/>
      <w:bookmarkStart w:id="270" w:name="_Toc6348"/>
      <w:bookmarkStart w:id="271" w:name="_Toc881"/>
      <w:bookmarkStart w:id="272" w:name="_Toc10749"/>
      <w:bookmarkStart w:id="273" w:name="_Toc24978"/>
      <w:bookmarkStart w:id="274" w:name="_Toc23472"/>
      <w:bookmarkStart w:id="275" w:name="_Toc26736"/>
      <w:bookmarkStart w:id="276" w:name="_Toc23515"/>
      <w:bookmarkStart w:id="277" w:name="_Toc6324"/>
      <w:r>
        <w:rPr>
          <w:rFonts w:hint="eastAsia"/>
        </w:rPr>
        <w:t>：</w:t>
      </w:r>
      <w:bookmarkEnd w:id="267"/>
      <w:bookmarkEnd w:id="268"/>
      <w:r>
        <w:rPr>
          <w:rFonts w:hint="eastAsia"/>
        </w:rPr>
        <w:t>网络安全相关管理部门的认知度</w:t>
      </w:r>
      <w:bookmarkEnd w:id="269"/>
      <w:bookmarkEnd w:id="270"/>
      <w:bookmarkEnd w:id="271"/>
      <w:bookmarkEnd w:id="272"/>
      <w:bookmarkEnd w:id="273"/>
      <w:bookmarkEnd w:id="274"/>
      <w:bookmarkEnd w:id="275"/>
      <w:bookmarkEnd w:id="276"/>
      <w:bookmarkEnd w:id="277"/>
    </w:p>
    <w:p>
      <w:pPr>
        <w:ind w:firstLine="0" w:firstLineChars="0"/>
      </w:pPr>
      <w:r>
        <w:rPr>
          <w:rFonts w:hint="eastAsia"/>
        </w:rPr>
        <w:t>（图表数据来源：从业人员版主问卷第17题：据您了解，以下哪些部门是网络安全的相关管理部门？）</w:t>
      </w:r>
    </w:p>
    <w:p/>
    <w:p>
      <w:r>
        <w:rPr>
          <w:rFonts w:hint="eastAsia"/>
        </w:rPr>
        <w:t>（5）网络安全监管力度</w:t>
      </w:r>
    </w:p>
    <w:p>
      <w:r>
        <w:rPr>
          <w:rFonts w:hint="eastAsia"/>
        </w:rPr>
        <w:t>从业人员对政府有关部门对网络安全监管力度评价比较好，认为非常强占15.98</w:t>
      </w:r>
      <w:r>
        <w:t>%</w:t>
      </w:r>
      <w:r>
        <w:rPr>
          <w:rFonts w:hint="eastAsia"/>
        </w:rPr>
        <w:t>，认为比较强占42.10%，即认为强的占58.08%。认为一般则有30.98%。相较于全国数据，认为一般的比例比全国低了5.42个百分点。</w:t>
      </w:r>
    </w:p>
    <w:p>
      <w:pPr>
        <w:ind w:firstLine="0" w:firstLineChars="0"/>
        <w:jc w:val="center"/>
      </w:pPr>
      <w:r>
        <w:drawing>
          <wp:inline distT="0" distB="0" distL="114300" distR="114300">
            <wp:extent cx="5229860" cy="3340735"/>
            <wp:effectExtent l="4445" t="4445" r="23495" b="7620"/>
            <wp:docPr id="2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pStyle w:val="5"/>
        <w:jc w:val="center"/>
      </w:pPr>
      <w:bookmarkStart w:id="278" w:name="_Toc19305618"/>
      <w:bookmarkStart w:id="279" w:name="_Toc19203712"/>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20</w:t>
      </w:r>
      <w:r>
        <w:rPr>
          <w:rFonts w:hint="eastAsia"/>
        </w:rPr>
        <w:fldChar w:fldCharType="end"/>
      </w:r>
      <w:bookmarkStart w:id="280" w:name="_Toc1847"/>
      <w:bookmarkStart w:id="281" w:name="_Toc20119"/>
      <w:bookmarkStart w:id="282" w:name="_Toc880"/>
      <w:bookmarkStart w:id="283" w:name="_Toc24224"/>
      <w:bookmarkStart w:id="284" w:name="_Toc27438"/>
      <w:bookmarkStart w:id="285" w:name="_Toc16667"/>
      <w:bookmarkStart w:id="286" w:name="_Toc6577"/>
      <w:bookmarkStart w:id="287" w:name="_Toc24333"/>
      <w:bookmarkStart w:id="288" w:name="_Toc25546"/>
      <w:r>
        <w:rPr>
          <w:rFonts w:hint="eastAsia"/>
        </w:rPr>
        <w:t>：</w:t>
      </w:r>
      <w:bookmarkEnd w:id="278"/>
      <w:bookmarkEnd w:id="279"/>
      <w:r>
        <w:rPr>
          <w:rFonts w:hint="eastAsia"/>
        </w:rPr>
        <w:t>政府部门对网络安全的监管力度评价</w:t>
      </w:r>
      <w:bookmarkEnd w:id="280"/>
      <w:bookmarkEnd w:id="281"/>
      <w:bookmarkEnd w:id="282"/>
      <w:bookmarkEnd w:id="283"/>
      <w:bookmarkEnd w:id="284"/>
      <w:bookmarkEnd w:id="285"/>
      <w:bookmarkEnd w:id="286"/>
      <w:bookmarkEnd w:id="287"/>
      <w:bookmarkEnd w:id="288"/>
    </w:p>
    <w:p>
      <w:pPr>
        <w:ind w:firstLine="0" w:firstLineChars="0"/>
      </w:pPr>
      <w:r>
        <w:rPr>
          <w:rFonts w:hint="eastAsia"/>
        </w:rPr>
        <w:t>（图表数据来源：从业人员版主问卷第18题：您认为政府相关部门在网络安全方面的监管力度如何？）</w:t>
      </w:r>
    </w:p>
    <w:p/>
    <w:p>
      <w:pPr>
        <w:widowControl/>
        <w:adjustRightInd/>
        <w:snapToGrid/>
        <w:spacing w:line="240" w:lineRule="auto"/>
        <w:ind w:firstLine="0" w:firstLineChars="0"/>
        <w:jc w:val="left"/>
        <w:rPr>
          <w:rFonts w:ascii="黑体" w:hAnsi="黑体" w:eastAsia="黑体"/>
          <w:b/>
          <w:bCs/>
          <w:kern w:val="44"/>
          <w:sz w:val="28"/>
          <w:szCs w:val="28"/>
        </w:rPr>
      </w:pPr>
      <w:bookmarkStart w:id="289" w:name="_Toc19207416"/>
      <w:r>
        <w:br w:type="page"/>
      </w:r>
    </w:p>
    <w:p>
      <w:pPr>
        <w:pStyle w:val="2"/>
      </w:pPr>
      <w:bookmarkStart w:id="290" w:name="_Toc16643"/>
      <w:r>
        <w:rPr>
          <w:rFonts w:hint="eastAsia"/>
        </w:rPr>
        <w:t>五、专题分析</w:t>
      </w:r>
      <w:bookmarkEnd w:id="289"/>
      <w:bookmarkEnd w:id="290"/>
    </w:p>
    <w:p>
      <w:pPr>
        <w:pStyle w:val="3"/>
      </w:pPr>
      <w:bookmarkStart w:id="291" w:name="_Toc22436"/>
      <w:bookmarkStart w:id="292" w:name="_Toc19207417"/>
      <w:r>
        <w:rPr>
          <w:rFonts w:hint="eastAsia"/>
        </w:rPr>
        <w:t>5.1、等级保护实施与企业合规专题</w:t>
      </w:r>
      <w:bookmarkEnd w:id="291"/>
      <w:bookmarkEnd w:id="292"/>
    </w:p>
    <w:p>
      <w:r>
        <w:rPr>
          <w:rFonts w:hint="eastAsia"/>
        </w:rPr>
        <w:t>本专题重庆市采集数量太少不做统计，附全国的统计数据作参考。全国参与本专题答题的从业人员人数为15095。</w:t>
      </w:r>
    </w:p>
    <w:p>
      <w:r>
        <w:rPr>
          <w:rFonts w:hint="eastAsia"/>
        </w:rPr>
        <w:t>（1）从业人员所在行业占比</w:t>
      </w:r>
    </w:p>
    <w:p>
      <w:r>
        <w:rPr>
          <w:rFonts w:hint="eastAsia"/>
        </w:rPr>
        <w:t>参加本专题网络安全从业人员主要分布在互联网平台、通信及信息技术服务业（占32.10%）、政府部门（14.24%）、教育部门（8.50%）、卫生医疗（6.64%）等。</w:t>
      </w:r>
    </w:p>
    <w:p>
      <w:pPr>
        <w:ind w:firstLine="0" w:firstLineChars="0"/>
        <w:jc w:val="center"/>
      </w:pPr>
      <w:r>
        <w:drawing>
          <wp:inline distT="0" distB="0" distL="0" distR="0">
            <wp:extent cx="5179060" cy="3220720"/>
            <wp:effectExtent l="4445" t="4445" r="17145" b="1333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pStyle w:val="5"/>
        <w:jc w:val="center"/>
      </w:pPr>
      <w:bookmarkStart w:id="293" w:name="_Toc19203715"/>
      <w:bookmarkStart w:id="294" w:name="_Toc19305621"/>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21</w:t>
      </w:r>
      <w:r>
        <w:rPr>
          <w:rFonts w:hint="eastAsia"/>
        </w:rPr>
        <w:fldChar w:fldCharType="end"/>
      </w:r>
      <w:bookmarkStart w:id="295" w:name="_Toc30133"/>
      <w:bookmarkStart w:id="296" w:name="_Toc21002"/>
      <w:bookmarkStart w:id="297" w:name="_Toc19855"/>
      <w:bookmarkStart w:id="298" w:name="_Toc18776"/>
      <w:bookmarkStart w:id="299" w:name="_Toc25658"/>
      <w:bookmarkStart w:id="300" w:name="_Toc19522"/>
      <w:bookmarkStart w:id="301" w:name="_Toc13293"/>
      <w:bookmarkStart w:id="302" w:name="_Toc20470"/>
      <w:bookmarkStart w:id="303" w:name="_Toc13946"/>
      <w:r>
        <w:rPr>
          <w:rFonts w:hint="eastAsia"/>
        </w:rPr>
        <w:t>：</w:t>
      </w:r>
      <w:bookmarkEnd w:id="293"/>
      <w:bookmarkEnd w:id="294"/>
      <w:r>
        <w:rPr>
          <w:rFonts w:hint="eastAsia"/>
        </w:rPr>
        <w:t>从业人员所在行业分布占比</w:t>
      </w:r>
      <w:bookmarkEnd w:id="295"/>
      <w:bookmarkEnd w:id="296"/>
      <w:bookmarkEnd w:id="297"/>
      <w:bookmarkEnd w:id="298"/>
      <w:bookmarkEnd w:id="299"/>
      <w:bookmarkEnd w:id="300"/>
      <w:bookmarkEnd w:id="301"/>
      <w:bookmarkEnd w:id="302"/>
      <w:bookmarkEnd w:id="303"/>
    </w:p>
    <w:p>
      <w:pPr>
        <w:ind w:firstLine="0" w:firstLineChars="0"/>
      </w:pPr>
      <w:r>
        <w:rPr>
          <w:rFonts w:hint="eastAsia"/>
        </w:rPr>
        <w:t>（图表数据来源：从业人员版等级保护实施与企业合规专题第1题：您单位所在的行业领域是？）</w:t>
      </w:r>
    </w:p>
    <w:p>
      <w:pPr>
        <w:ind w:firstLine="0" w:firstLineChars="0"/>
      </w:pPr>
    </w:p>
    <w:p>
      <w:r>
        <w:rPr>
          <w:rFonts w:hint="eastAsia"/>
        </w:rPr>
        <w:t>（2）所在行业对等级保护工作指导</w:t>
      </w:r>
    </w:p>
    <w:p>
      <w:r>
        <w:rPr>
          <w:rFonts w:hint="eastAsia"/>
        </w:rPr>
        <w:t>行业主管部门对等级保护工作的推进落实方面，78.13%的从业人员所在行业出台了具体的指导意见，其中41.80%从业人员所在行业有明确细致的指导意见，36.33%有较为简单指导意见。</w:t>
      </w:r>
    </w:p>
    <w:p>
      <w:pPr>
        <w:ind w:firstLine="0" w:firstLineChars="0"/>
        <w:jc w:val="center"/>
      </w:pPr>
      <w:r>
        <w:drawing>
          <wp:inline distT="0" distB="0" distL="0" distR="0">
            <wp:extent cx="4856480" cy="2726690"/>
            <wp:effectExtent l="4445" t="4445" r="15875" b="12065"/>
            <wp:docPr id="277" name="图表 27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pStyle w:val="5"/>
        <w:jc w:val="center"/>
      </w:pPr>
      <w:bookmarkStart w:id="304" w:name="_Toc19305622"/>
      <w:bookmarkStart w:id="305" w:name="_Toc19203716"/>
      <w:bookmarkStart w:id="306" w:name="_Toc48815646"/>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22</w:t>
      </w:r>
      <w:r>
        <w:rPr>
          <w:rFonts w:hint="eastAsia"/>
        </w:rPr>
        <w:fldChar w:fldCharType="end"/>
      </w:r>
      <w:bookmarkEnd w:id="304"/>
      <w:bookmarkEnd w:id="305"/>
      <w:bookmarkStart w:id="307" w:name="_Toc31195"/>
      <w:bookmarkStart w:id="308" w:name="_Toc21728"/>
      <w:bookmarkStart w:id="309" w:name="_Toc26073"/>
      <w:bookmarkStart w:id="310" w:name="_Toc13555"/>
      <w:bookmarkStart w:id="311" w:name="_Toc29958"/>
      <w:bookmarkStart w:id="312" w:name="_Toc19931"/>
      <w:bookmarkStart w:id="313" w:name="_Toc6636"/>
      <w:bookmarkStart w:id="314" w:name="_Toc1259"/>
      <w:bookmarkStart w:id="315" w:name="_Toc14590"/>
      <w:r>
        <w:rPr>
          <w:rFonts w:hint="eastAsia"/>
        </w:rPr>
        <w:t>：所在行业对等级保护工作指导现状</w:t>
      </w:r>
      <w:bookmarkEnd w:id="306"/>
      <w:bookmarkEnd w:id="307"/>
      <w:bookmarkEnd w:id="308"/>
      <w:bookmarkEnd w:id="309"/>
      <w:bookmarkEnd w:id="310"/>
      <w:bookmarkEnd w:id="311"/>
      <w:bookmarkEnd w:id="312"/>
      <w:bookmarkEnd w:id="313"/>
      <w:bookmarkEnd w:id="314"/>
      <w:bookmarkEnd w:id="315"/>
    </w:p>
    <w:p>
      <w:pPr>
        <w:ind w:firstLine="0" w:firstLineChars="0"/>
      </w:pPr>
      <w:r>
        <w:rPr>
          <w:rFonts w:hint="eastAsia"/>
        </w:rPr>
        <w:t>（图表数据来源：从业人员版等级保护实施与企业合规专题第2题：您单位所在行业是否有明确的等级保护工作指导意见（系统定级、测评周期要求、安全建设和检查）？）</w:t>
      </w:r>
    </w:p>
    <w:p>
      <w:pPr>
        <w:ind w:firstLine="0" w:firstLineChars="0"/>
      </w:pPr>
    </w:p>
    <w:p>
      <w:r>
        <w:rPr>
          <w:rFonts w:hint="eastAsia"/>
        </w:rPr>
        <w:t>（3）网络安全对单位重要性认识</w:t>
      </w:r>
    </w:p>
    <w:p>
      <w:r>
        <w:rPr>
          <w:rFonts w:hint="eastAsia"/>
        </w:rPr>
        <w:t>网络安全对单位的重要性认识方面，绝大部分（93.11%）从业人员认为重要和非常重要，其中67.17%从业人员认为非常重要，25.94%从业人员认为重要。</w:t>
      </w:r>
    </w:p>
    <w:p>
      <w:pPr>
        <w:ind w:firstLine="0" w:firstLineChars="0"/>
        <w:jc w:val="center"/>
      </w:pPr>
      <w:r>
        <w:drawing>
          <wp:inline distT="0" distB="0" distL="0" distR="0">
            <wp:extent cx="4749800" cy="2545715"/>
            <wp:effectExtent l="4445" t="5080" r="8255" b="2095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pStyle w:val="5"/>
        <w:jc w:val="center"/>
      </w:pPr>
      <w:bookmarkStart w:id="316" w:name="_Toc19203717"/>
      <w:bookmarkStart w:id="317" w:name="_Toc19305623"/>
      <w:bookmarkStart w:id="318" w:name="_Toc48815647"/>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23</w:t>
      </w:r>
      <w:r>
        <w:rPr>
          <w:rFonts w:hint="eastAsia"/>
        </w:rPr>
        <w:fldChar w:fldCharType="end"/>
      </w:r>
      <w:bookmarkStart w:id="319" w:name="_Toc20030"/>
      <w:bookmarkStart w:id="320" w:name="_Toc23496"/>
      <w:bookmarkStart w:id="321" w:name="_Toc13977"/>
      <w:bookmarkStart w:id="322" w:name="_Toc20831"/>
      <w:bookmarkStart w:id="323" w:name="_Toc397"/>
      <w:bookmarkStart w:id="324" w:name="_Toc7319"/>
      <w:bookmarkStart w:id="325" w:name="_Toc3972"/>
      <w:bookmarkStart w:id="326" w:name="_Toc10594"/>
      <w:bookmarkStart w:id="327" w:name="_Toc4905"/>
      <w:r>
        <w:rPr>
          <w:rFonts w:hint="eastAsia"/>
        </w:rPr>
        <w:t>：</w:t>
      </w:r>
      <w:bookmarkEnd w:id="316"/>
      <w:bookmarkEnd w:id="317"/>
      <w:r>
        <w:rPr>
          <w:rFonts w:hint="eastAsia"/>
        </w:rPr>
        <w:t>网络安全对单位重要性认识</w:t>
      </w:r>
      <w:bookmarkEnd w:id="318"/>
      <w:bookmarkEnd w:id="319"/>
      <w:bookmarkEnd w:id="320"/>
      <w:bookmarkEnd w:id="321"/>
      <w:bookmarkEnd w:id="322"/>
      <w:bookmarkEnd w:id="323"/>
      <w:bookmarkEnd w:id="324"/>
      <w:bookmarkEnd w:id="325"/>
      <w:bookmarkEnd w:id="326"/>
      <w:bookmarkEnd w:id="327"/>
    </w:p>
    <w:p>
      <w:pPr>
        <w:ind w:firstLine="0" w:firstLineChars="0"/>
      </w:pPr>
      <w:r>
        <w:rPr>
          <w:rFonts w:hint="eastAsia"/>
        </w:rPr>
        <w:t>（图表数据来源：从业人员版等级保护实施与企业合规专题第3题：您认为网络安全对您所在单位来说重要吗？）</w:t>
      </w:r>
    </w:p>
    <w:p/>
    <w:p>
      <w:r>
        <w:rPr>
          <w:rFonts w:hint="eastAsia"/>
        </w:rPr>
        <w:t>（4）所在单位安全状况</w:t>
      </w:r>
    </w:p>
    <w:p>
      <w:r>
        <w:rPr>
          <w:rFonts w:hint="eastAsia"/>
        </w:rPr>
        <w:t>从业人员对所在单位安全状况的了解方面，34.64%从业人员表示非常了解，56.46%从业人员表示大概知道，只有8.89%从业人员表示完全不清楚。</w:t>
      </w:r>
    </w:p>
    <w:p>
      <w:pPr>
        <w:ind w:firstLine="0" w:firstLineChars="0"/>
        <w:jc w:val="center"/>
        <w:rPr>
          <w:b/>
          <w:sz w:val="28"/>
        </w:rPr>
      </w:pPr>
      <w:r>
        <w:drawing>
          <wp:inline distT="0" distB="0" distL="0" distR="0">
            <wp:extent cx="4521200" cy="2385695"/>
            <wp:effectExtent l="5080" t="4445" r="7620" b="1016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pStyle w:val="5"/>
        <w:jc w:val="center"/>
      </w:pPr>
      <w:bookmarkStart w:id="328" w:name="_Toc48815648"/>
      <w:bookmarkStart w:id="329" w:name="_Toc19305624"/>
      <w:bookmarkStart w:id="330" w:name="_Toc19203718"/>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24</w:t>
      </w:r>
      <w:r>
        <w:rPr>
          <w:rFonts w:hint="eastAsia"/>
        </w:rPr>
        <w:fldChar w:fldCharType="end"/>
      </w:r>
      <w:bookmarkStart w:id="331" w:name="_Toc18889"/>
      <w:bookmarkStart w:id="332" w:name="_Toc10619"/>
      <w:bookmarkStart w:id="333" w:name="_Toc22169"/>
      <w:bookmarkStart w:id="334" w:name="_Toc7505"/>
      <w:bookmarkStart w:id="335" w:name="_Toc16218"/>
      <w:bookmarkStart w:id="336" w:name="_Toc29886"/>
      <w:bookmarkStart w:id="337" w:name="_Toc5679"/>
      <w:bookmarkStart w:id="338" w:name="_Toc27554"/>
      <w:bookmarkStart w:id="339" w:name="_Toc23795"/>
      <w:r>
        <w:rPr>
          <w:rFonts w:hint="eastAsia"/>
        </w:rPr>
        <w:t>：所在单位网络安全状况的了解</w:t>
      </w:r>
      <w:bookmarkEnd w:id="328"/>
      <w:bookmarkEnd w:id="329"/>
      <w:bookmarkEnd w:id="330"/>
      <w:bookmarkEnd w:id="331"/>
      <w:bookmarkEnd w:id="332"/>
      <w:bookmarkEnd w:id="333"/>
      <w:bookmarkEnd w:id="334"/>
      <w:bookmarkEnd w:id="335"/>
      <w:bookmarkEnd w:id="336"/>
      <w:bookmarkEnd w:id="337"/>
      <w:bookmarkEnd w:id="338"/>
      <w:bookmarkEnd w:id="339"/>
    </w:p>
    <w:p>
      <w:pPr>
        <w:ind w:firstLine="0" w:firstLineChars="0"/>
      </w:pPr>
      <w:r>
        <w:rPr>
          <w:rFonts w:hint="eastAsia"/>
        </w:rPr>
        <w:t>（图表数据来源：从业人员版等级保护实施与企业合规专题第4题：您是否了解所在单位的网络安全现状？）</w:t>
      </w:r>
    </w:p>
    <w:p>
      <w:pPr>
        <w:ind w:firstLine="0" w:firstLineChars="0"/>
      </w:pPr>
    </w:p>
    <w:p>
      <w:r>
        <w:rPr>
          <w:rFonts w:hint="eastAsia"/>
        </w:rPr>
        <w:t>（4．1）所在单位安全管理状况评价</w:t>
      </w:r>
    </w:p>
    <w:p>
      <w:r>
        <w:rPr>
          <w:rFonts w:hint="eastAsia"/>
        </w:rPr>
        <w:t>从业人员对所在单位安全管理状况满意度评价方面，71.57%从业人员表示满意或非常满意，其中45.28%从业人员表示满意，26.29%从业人员表示非常满意。</w:t>
      </w:r>
    </w:p>
    <w:p>
      <w:pPr>
        <w:ind w:firstLine="0" w:firstLineChars="0"/>
        <w:jc w:val="center"/>
        <w:rPr>
          <w:b/>
          <w:sz w:val="28"/>
        </w:rPr>
      </w:pPr>
      <w:r>
        <w:drawing>
          <wp:inline distT="0" distB="0" distL="0" distR="0">
            <wp:extent cx="4991735" cy="2680335"/>
            <wp:effectExtent l="4445" t="4445" r="13970" b="2032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pStyle w:val="5"/>
        <w:jc w:val="center"/>
      </w:pPr>
      <w:bookmarkStart w:id="340" w:name="_Toc48815649"/>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25</w:t>
      </w:r>
      <w:r>
        <w:rPr>
          <w:rFonts w:hint="eastAsia"/>
        </w:rPr>
        <w:fldChar w:fldCharType="end"/>
      </w:r>
      <w:bookmarkStart w:id="341" w:name="_Toc4688"/>
      <w:bookmarkStart w:id="342" w:name="_Toc21486"/>
      <w:bookmarkStart w:id="343" w:name="_Toc10470"/>
      <w:bookmarkStart w:id="344" w:name="_Toc24682"/>
      <w:bookmarkStart w:id="345" w:name="_Toc5087"/>
      <w:bookmarkStart w:id="346" w:name="_Toc26823"/>
      <w:bookmarkStart w:id="347" w:name="_Toc13758"/>
      <w:bookmarkStart w:id="348" w:name="_Toc6116"/>
      <w:bookmarkStart w:id="349" w:name="_Toc11722"/>
      <w:r>
        <w:rPr>
          <w:rFonts w:hint="eastAsia"/>
        </w:rPr>
        <w:t>：所在单位网络安全管理状况满意度评价</w:t>
      </w:r>
      <w:bookmarkEnd w:id="340"/>
      <w:bookmarkEnd w:id="341"/>
      <w:bookmarkEnd w:id="342"/>
      <w:bookmarkEnd w:id="343"/>
      <w:bookmarkEnd w:id="344"/>
      <w:bookmarkEnd w:id="345"/>
      <w:bookmarkEnd w:id="346"/>
      <w:bookmarkEnd w:id="347"/>
      <w:bookmarkEnd w:id="348"/>
      <w:bookmarkEnd w:id="349"/>
    </w:p>
    <w:p>
      <w:pPr>
        <w:ind w:firstLine="0" w:firstLineChars="0"/>
      </w:pPr>
      <w:r>
        <w:rPr>
          <w:rFonts w:hint="eastAsia"/>
        </w:rPr>
        <w:t>（图表数据来源：从业人员版等级保护实施与企业合规专题第4.1题：您对所在单位的网络安全管理状况是否满意：）</w:t>
      </w:r>
    </w:p>
    <w:p>
      <w:pPr>
        <w:ind w:firstLine="0" w:firstLineChars="0"/>
      </w:pPr>
    </w:p>
    <w:p>
      <w:r>
        <w:rPr>
          <w:rFonts w:hint="eastAsia"/>
        </w:rPr>
        <w:t>（4．2）所在单位安全管理存在问题</w:t>
      </w:r>
    </w:p>
    <w:p>
      <w:r>
        <w:rPr>
          <w:rFonts w:hint="eastAsia"/>
        </w:rPr>
        <w:t>从业人员对所在单位安全管理需要改善的地方主要方面，前五位分别是1管理层网络安全意识（63.02%）、2规章制度（59.29%）、3人才队伍（58.83</w:t>
      </w:r>
      <w:r>
        <w:t>%</w:t>
      </w:r>
      <w:r>
        <w:rPr>
          <w:rFonts w:hint="eastAsia"/>
        </w:rPr>
        <w:t>）、4安全运维能力（52.28%）、标准规范（52.25%）。</w:t>
      </w:r>
    </w:p>
    <w:p>
      <w:pPr>
        <w:ind w:firstLine="0" w:firstLineChars="0"/>
        <w:jc w:val="center"/>
        <w:rPr>
          <w:b/>
          <w:sz w:val="28"/>
        </w:rPr>
      </w:pPr>
      <w:r>
        <w:drawing>
          <wp:inline distT="0" distB="0" distL="0" distR="0">
            <wp:extent cx="5013325" cy="2743200"/>
            <wp:effectExtent l="4445" t="4445" r="11430" b="14605"/>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pStyle w:val="5"/>
        <w:jc w:val="center"/>
      </w:pPr>
      <w:bookmarkStart w:id="350" w:name="_Toc48815650"/>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26</w:t>
      </w:r>
      <w:r>
        <w:rPr>
          <w:rFonts w:hint="eastAsia"/>
        </w:rPr>
        <w:fldChar w:fldCharType="end"/>
      </w:r>
      <w:bookmarkStart w:id="351" w:name="_Toc25958"/>
      <w:bookmarkStart w:id="352" w:name="_Toc14282"/>
      <w:bookmarkStart w:id="353" w:name="_Toc17720"/>
      <w:bookmarkStart w:id="354" w:name="_Toc2268"/>
      <w:bookmarkStart w:id="355" w:name="_Toc30931"/>
      <w:bookmarkStart w:id="356" w:name="_Toc28962"/>
      <w:bookmarkStart w:id="357" w:name="_Toc5905"/>
      <w:bookmarkStart w:id="358" w:name="_Toc29430"/>
      <w:bookmarkStart w:id="359" w:name="_Toc14216"/>
      <w:r>
        <w:rPr>
          <w:rFonts w:hint="eastAsia"/>
        </w:rPr>
        <w:t>：所在单位网络安全管理需要改善的地方</w:t>
      </w:r>
      <w:bookmarkEnd w:id="350"/>
      <w:bookmarkEnd w:id="351"/>
      <w:bookmarkEnd w:id="352"/>
      <w:bookmarkEnd w:id="353"/>
      <w:bookmarkEnd w:id="354"/>
      <w:bookmarkEnd w:id="355"/>
      <w:bookmarkEnd w:id="356"/>
      <w:bookmarkEnd w:id="357"/>
      <w:bookmarkEnd w:id="358"/>
      <w:bookmarkEnd w:id="359"/>
    </w:p>
    <w:p>
      <w:pPr>
        <w:ind w:firstLine="0" w:firstLineChars="0"/>
      </w:pPr>
      <w:r>
        <w:rPr>
          <w:rFonts w:hint="eastAsia"/>
        </w:rPr>
        <w:t>（图表数据来源：从业人员版等级保护实施与企业合规专题第4.2题：您认为单位的网络安全管理在哪些方面需要改善？）</w:t>
      </w:r>
    </w:p>
    <w:p>
      <w:pPr>
        <w:ind w:firstLine="0" w:firstLineChars="0"/>
      </w:pPr>
    </w:p>
    <w:p>
      <w:r>
        <w:rPr>
          <w:rFonts w:hint="eastAsia"/>
        </w:rPr>
        <w:t>（5）网络安全保护专门机构设置</w:t>
      </w:r>
    </w:p>
    <w:p>
      <w:bookmarkStart w:id="360" w:name="_Toc19305625"/>
      <w:bookmarkStart w:id="361" w:name="_Toc19203719"/>
      <w:r>
        <w:rPr>
          <w:rFonts w:hint="eastAsia"/>
        </w:rPr>
        <w:t>69.20%</w:t>
      </w:r>
      <w:r>
        <w:rPr>
          <w:rFonts w:hint="eastAsia" w:asciiTheme="minorEastAsia" w:hAnsiTheme="minorEastAsia"/>
        </w:rPr>
        <w:t>从业</w:t>
      </w:r>
      <w:r>
        <w:rPr>
          <w:rFonts w:hint="eastAsia"/>
        </w:rPr>
        <w:t>人员所在单位设置了网络安全专门机构，16.84%的从业人员单位没有设置专门的网络安全保护机构。</w:t>
      </w:r>
    </w:p>
    <w:p>
      <w:pPr>
        <w:ind w:firstLine="0" w:firstLineChars="0"/>
        <w:jc w:val="center"/>
        <w:rPr>
          <w:rFonts w:ascii="黑体" w:hAnsi="黑体"/>
        </w:rPr>
      </w:pPr>
      <w:r>
        <w:drawing>
          <wp:inline distT="0" distB="0" distL="0" distR="0">
            <wp:extent cx="4733925" cy="2059305"/>
            <wp:effectExtent l="4445" t="5080" r="5080" b="12065"/>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pStyle w:val="5"/>
        <w:jc w:val="center"/>
      </w:pPr>
      <w:bookmarkStart w:id="362" w:name="_Toc48815651"/>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27</w:t>
      </w:r>
      <w:r>
        <w:rPr>
          <w:rFonts w:hint="eastAsia"/>
        </w:rPr>
        <w:fldChar w:fldCharType="end"/>
      </w:r>
      <w:bookmarkStart w:id="363" w:name="_Toc10833"/>
      <w:bookmarkStart w:id="364" w:name="_Toc22128"/>
      <w:bookmarkStart w:id="365" w:name="_Toc3609"/>
      <w:bookmarkStart w:id="366" w:name="_Toc1934"/>
      <w:bookmarkStart w:id="367" w:name="_Toc8088"/>
      <w:bookmarkStart w:id="368" w:name="_Toc9553"/>
      <w:bookmarkStart w:id="369" w:name="_Toc13612"/>
      <w:bookmarkStart w:id="370" w:name="_Toc31040"/>
      <w:bookmarkStart w:id="371" w:name="_Toc16996"/>
      <w:r>
        <w:rPr>
          <w:rFonts w:hint="eastAsia"/>
        </w:rPr>
        <w:t>：</w:t>
      </w:r>
      <w:bookmarkEnd w:id="360"/>
      <w:bookmarkEnd w:id="361"/>
      <w:r>
        <w:rPr>
          <w:rFonts w:hint="eastAsia"/>
        </w:rPr>
        <w:t>所在单位网络安全保护专门机构设置情况</w:t>
      </w:r>
      <w:bookmarkEnd w:id="362"/>
      <w:bookmarkEnd w:id="363"/>
      <w:bookmarkEnd w:id="364"/>
      <w:bookmarkEnd w:id="365"/>
      <w:bookmarkEnd w:id="366"/>
      <w:bookmarkEnd w:id="367"/>
      <w:bookmarkEnd w:id="368"/>
      <w:bookmarkEnd w:id="369"/>
      <w:bookmarkEnd w:id="370"/>
      <w:bookmarkEnd w:id="371"/>
    </w:p>
    <w:p>
      <w:pPr>
        <w:ind w:firstLine="0" w:firstLineChars="0"/>
      </w:pPr>
      <w:r>
        <w:rPr>
          <w:rFonts w:hint="eastAsia"/>
        </w:rPr>
        <w:t>（图表数据来源：从业人员版等级保护实施与企业合规专题第5题：您所在单位是否有网络安全保护专门机构？）</w:t>
      </w:r>
    </w:p>
    <w:p/>
    <w:p>
      <w:r>
        <w:rPr>
          <w:rFonts w:hint="eastAsia"/>
        </w:rPr>
        <w:t>（5．1）单位网络安全责任人落实情况</w:t>
      </w:r>
    </w:p>
    <w:p>
      <w:r>
        <w:t>74.97%</w:t>
      </w:r>
      <w:r>
        <w:rPr>
          <w:rFonts w:hint="eastAsia" w:asciiTheme="minorEastAsia" w:hAnsiTheme="minorEastAsia"/>
        </w:rPr>
        <w:t>从业</w:t>
      </w:r>
      <w:r>
        <w:rPr>
          <w:rFonts w:hint="eastAsia"/>
        </w:rPr>
        <w:t>人员所在单位落实了网络安全责任人，11.46%的从业人员单位没有落实。</w:t>
      </w:r>
    </w:p>
    <w:p>
      <w:pPr>
        <w:ind w:firstLine="0" w:firstLineChars="0"/>
        <w:jc w:val="center"/>
        <w:rPr>
          <w:rFonts w:ascii="黑体" w:hAnsi="黑体"/>
        </w:rPr>
      </w:pPr>
      <w:r>
        <w:drawing>
          <wp:inline distT="0" distB="0" distL="0" distR="0">
            <wp:extent cx="4568825" cy="2173605"/>
            <wp:effectExtent l="4445" t="4445" r="17780" b="12700"/>
            <wp:docPr id="448" name="图表 44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pStyle w:val="5"/>
        <w:jc w:val="center"/>
      </w:pPr>
      <w:bookmarkStart w:id="372" w:name="_Toc48815652"/>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28</w:t>
      </w:r>
      <w:r>
        <w:rPr>
          <w:rFonts w:hint="eastAsia"/>
        </w:rPr>
        <w:fldChar w:fldCharType="end"/>
      </w:r>
      <w:bookmarkStart w:id="373" w:name="_Toc3215"/>
      <w:bookmarkStart w:id="374" w:name="_Toc25166"/>
      <w:bookmarkStart w:id="375" w:name="_Toc18242"/>
      <w:bookmarkStart w:id="376" w:name="_Toc28248"/>
      <w:bookmarkStart w:id="377" w:name="_Toc755"/>
      <w:bookmarkStart w:id="378" w:name="_Toc4358"/>
      <w:bookmarkStart w:id="379" w:name="_Toc12611"/>
      <w:bookmarkStart w:id="380" w:name="_Toc12036"/>
      <w:bookmarkStart w:id="381" w:name="_Toc7157"/>
      <w:r>
        <w:rPr>
          <w:rFonts w:hint="eastAsia"/>
        </w:rPr>
        <w:t>：所在单位网络安全责任人落实情况</w:t>
      </w:r>
      <w:bookmarkEnd w:id="372"/>
      <w:bookmarkEnd w:id="373"/>
      <w:bookmarkEnd w:id="374"/>
      <w:bookmarkEnd w:id="375"/>
      <w:bookmarkEnd w:id="376"/>
      <w:bookmarkEnd w:id="377"/>
      <w:bookmarkEnd w:id="378"/>
      <w:bookmarkEnd w:id="379"/>
      <w:bookmarkEnd w:id="380"/>
      <w:bookmarkEnd w:id="381"/>
    </w:p>
    <w:p>
      <w:pPr>
        <w:ind w:firstLine="0" w:firstLineChars="0"/>
      </w:pPr>
      <w:r>
        <w:rPr>
          <w:rFonts w:hint="eastAsia"/>
        </w:rPr>
        <w:t>（图表数据来源：从业人员版等级保护实施与企业合规专题第5.1题：您所在单位是否明确了网络安全责任人？）</w:t>
      </w:r>
    </w:p>
    <w:p/>
    <w:p>
      <w:r>
        <w:rPr>
          <w:rFonts w:hint="eastAsia"/>
        </w:rPr>
        <w:t>（6）所在单位网络安全经费预算落实情况</w:t>
      </w:r>
    </w:p>
    <w:p>
      <w:r>
        <w:rPr>
          <w:rFonts w:hint="eastAsia"/>
        </w:rPr>
        <w:t>58.74%从业人员所在单位落实了网络安全经费预算，15.36%的从业人员单位没有落实。</w:t>
      </w:r>
    </w:p>
    <w:p>
      <w:pPr>
        <w:ind w:firstLine="0" w:firstLineChars="0"/>
        <w:jc w:val="center"/>
      </w:pPr>
      <w:r>
        <w:drawing>
          <wp:inline distT="0" distB="0" distL="0" distR="0">
            <wp:extent cx="5069840" cy="2364740"/>
            <wp:effectExtent l="0" t="0" r="16510" b="16510"/>
            <wp:docPr id="450" name="图表 45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pStyle w:val="5"/>
        <w:jc w:val="center"/>
      </w:pPr>
      <w:bookmarkStart w:id="382" w:name="_Toc19305627"/>
      <w:bookmarkStart w:id="383" w:name="_Toc19203721"/>
      <w:bookmarkStart w:id="384" w:name="_Toc48815653"/>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29</w:t>
      </w:r>
      <w:r>
        <w:rPr>
          <w:rFonts w:hint="eastAsia"/>
        </w:rPr>
        <w:fldChar w:fldCharType="end"/>
      </w:r>
      <w:bookmarkStart w:id="385" w:name="_Toc4108"/>
      <w:bookmarkStart w:id="386" w:name="_Toc15544"/>
      <w:bookmarkStart w:id="387" w:name="_Toc31737"/>
      <w:bookmarkStart w:id="388" w:name="_Toc16208"/>
      <w:bookmarkStart w:id="389" w:name="_Toc26391"/>
      <w:bookmarkStart w:id="390" w:name="_Toc20404"/>
      <w:bookmarkStart w:id="391" w:name="_Toc22602"/>
      <w:bookmarkStart w:id="392" w:name="_Toc28765"/>
      <w:bookmarkStart w:id="393" w:name="_Toc24102"/>
      <w:r>
        <w:rPr>
          <w:rFonts w:hint="eastAsia"/>
        </w:rPr>
        <w:t>：</w:t>
      </w:r>
      <w:bookmarkEnd w:id="382"/>
      <w:bookmarkEnd w:id="383"/>
      <w:r>
        <w:rPr>
          <w:rFonts w:hint="eastAsia"/>
        </w:rPr>
        <w:t>所在单位网络安全经费预算落实情况</w:t>
      </w:r>
      <w:bookmarkEnd w:id="384"/>
      <w:bookmarkEnd w:id="385"/>
      <w:bookmarkEnd w:id="386"/>
      <w:bookmarkEnd w:id="387"/>
      <w:bookmarkEnd w:id="388"/>
      <w:bookmarkEnd w:id="389"/>
      <w:bookmarkEnd w:id="390"/>
      <w:bookmarkEnd w:id="391"/>
      <w:bookmarkEnd w:id="392"/>
      <w:bookmarkEnd w:id="393"/>
    </w:p>
    <w:p>
      <w:pPr>
        <w:ind w:firstLine="0" w:firstLineChars="0"/>
      </w:pPr>
      <w:r>
        <w:rPr>
          <w:rFonts w:hint="eastAsia"/>
        </w:rPr>
        <w:t>（图表数据来源：从业人员版等级保护实施与企业合规专题第6题：您所在单位是否有网络安全相关的经费预算？）</w:t>
      </w:r>
    </w:p>
    <w:p>
      <w:pPr>
        <w:ind w:firstLine="0" w:firstLineChars="0"/>
      </w:pPr>
    </w:p>
    <w:p>
      <w:r>
        <w:rPr>
          <w:rFonts w:hint="eastAsia"/>
        </w:rPr>
        <w:t>（7）对企业网络安全合规要求的认识</w:t>
      </w:r>
    </w:p>
    <w:p>
      <w:r>
        <w:rPr>
          <w:rFonts w:hint="eastAsia"/>
        </w:rPr>
        <w:t>从业人员对企业网络安全合规要求认识有所提高，认为企业合规应遵循的法规认知度前5位分别为：1《中华人民共和国网络安全法》（88.29%）、2《计算机信息系统安全保护条例》（75.39%）、3《信息安全等级保护管理办法》（73.25%）、4《互联网信息服务管理办法》（65.24%）、5《国家安全法》（54.68%）。</w:t>
      </w:r>
    </w:p>
    <w:p>
      <w:pPr>
        <w:ind w:firstLine="0" w:firstLineChars="0"/>
        <w:jc w:val="left"/>
      </w:pPr>
      <w:r>
        <w:drawing>
          <wp:inline distT="0" distB="0" distL="0" distR="0">
            <wp:extent cx="5258435" cy="3402965"/>
            <wp:effectExtent l="4445" t="4445" r="13970" b="21590"/>
            <wp:docPr id="452" name="图表 45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pStyle w:val="5"/>
        <w:jc w:val="center"/>
      </w:pPr>
      <w:bookmarkStart w:id="394" w:name="_Toc48815654"/>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30</w:t>
      </w:r>
      <w:r>
        <w:rPr>
          <w:rFonts w:hint="eastAsia"/>
        </w:rPr>
        <w:fldChar w:fldCharType="end"/>
      </w:r>
      <w:bookmarkStart w:id="395" w:name="_Toc24349"/>
      <w:bookmarkStart w:id="396" w:name="_Toc20517"/>
      <w:bookmarkStart w:id="397" w:name="_Toc7745"/>
      <w:bookmarkStart w:id="398" w:name="_Toc32447"/>
      <w:bookmarkStart w:id="399" w:name="_Toc19765"/>
      <w:bookmarkStart w:id="400" w:name="_Toc32599"/>
      <w:bookmarkStart w:id="401" w:name="_Toc14466"/>
      <w:bookmarkStart w:id="402" w:name="_Toc2334"/>
      <w:bookmarkStart w:id="403" w:name="_Toc26030"/>
      <w:r>
        <w:rPr>
          <w:rFonts w:hint="eastAsia"/>
        </w:rPr>
        <w:t>：对企业网络安全合规应遵循法规的认识</w:t>
      </w:r>
      <w:bookmarkEnd w:id="394"/>
      <w:bookmarkEnd w:id="395"/>
      <w:bookmarkEnd w:id="396"/>
      <w:bookmarkEnd w:id="397"/>
      <w:bookmarkEnd w:id="398"/>
      <w:bookmarkEnd w:id="399"/>
      <w:bookmarkEnd w:id="400"/>
      <w:bookmarkEnd w:id="401"/>
      <w:bookmarkEnd w:id="402"/>
      <w:bookmarkEnd w:id="403"/>
    </w:p>
    <w:p>
      <w:pPr>
        <w:ind w:firstLine="0" w:firstLineChars="0"/>
      </w:pPr>
      <w:r>
        <w:rPr>
          <w:rFonts w:hint="eastAsia"/>
        </w:rPr>
        <w:t>（图表数据来源：从业人员版等级保护实施与企业合规专题第7题：据您了解，您所在企业网络安全合规应遵循哪些要求？）</w:t>
      </w:r>
    </w:p>
    <w:p>
      <w:pPr>
        <w:ind w:firstLine="0" w:firstLineChars="0"/>
      </w:pPr>
    </w:p>
    <w:p>
      <w:r>
        <w:rPr>
          <w:rFonts w:hint="eastAsia"/>
        </w:rPr>
        <w:t>（8）</w:t>
      </w:r>
      <w:bookmarkStart w:id="404" w:name="_Hlk48555527"/>
      <w:r>
        <w:rPr>
          <w:rFonts w:hint="eastAsia"/>
        </w:rPr>
        <w:t>政府部门提供的网络安全服务对行业的帮助</w:t>
      </w:r>
      <w:bookmarkEnd w:id="404"/>
    </w:p>
    <w:p>
      <w:r>
        <w:rPr>
          <w:rFonts w:hint="eastAsia"/>
        </w:rPr>
        <w:t>从业人员对政府部门提供的网络安全服务对行业的帮助的有效性评价前5位分别为：1知识普及（76.70%）、2教育培训（61.19%）、3监督检查（57.59%）、4安全通报和风险提示（54.64%）、5信息查询（54.63%）。大部分从业人员认为这些服务对行业有帮助。</w:t>
      </w:r>
    </w:p>
    <w:p>
      <w:pPr>
        <w:ind w:firstLine="0" w:firstLineChars="0"/>
        <w:jc w:val="center"/>
      </w:pPr>
      <w:r>
        <w:drawing>
          <wp:inline distT="0" distB="0" distL="0" distR="0">
            <wp:extent cx="5170170" cy="2743200"/>
            <wp:effectExtent l="4445" t="4445" r="6985" b="14605"/>
            <wp:docPr id="454" name="图表 45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pPr>
        <w:pStyle w:val="5"/>
        <w:jc w:val="center"/>
      </w:pPr>
      <w:bookmarkStart w:id="405" w:name="_Toc48815655"/>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31</w:t>
      </w:r>
      <w:r>
        <w:rPr>
          <w:rFonts w:hint="eastAsia"/>
        </w:rPr>
        <w:fldChar w:fldCharType="end"/>
      </w:r>
      <w:bookmarkStart w:id="406" w:name="_Toc26849"/>
      <w:bookmarkStart w:id="407" w:name="_Toc12290"/>
      <w:bookmarkStart w:id="408" w:name="_Toc7656"/>
      <w:bookmarkStart w:id="409" w:name="_Toc2541"/>
      <w:bookmarkStart w:id="410" w:name="_Toc16157"/>
      <w:bookmarkStart w:id="411" w:name="_Toc11578"/>
      <w:bookmarkStart w:id="412" w:name="_Toc27034"/>
      <w:bookmarkStart w:id="413" w:name="_Toc4952"/>
      <w:bookmarkStart w:id="414" w:name="_Toc21501"/>
      <w:r>
        <w:rPr>
          <w:rFonts w:hint="eastAsia"/>
        </w:rPr>
        <w:t>：政府提供的网络安全服务对行业帮助的有效性评价</w:t>
      </w:r>
      <w:bookmarkEnd w:id="405"/>
      <w:bookmarkEnd w:id="406"/>
      <w:bookmarkEnd w:id="407"/>
      <w:bookmarkEnd w:id="408"/>
      <w:bookmarkEnd w:id="409"/>
      <w:bookmarkEnd w:id="410"/>
      <w:bookmarkEnd w:id="411"/>
      <w:bookmarkEnd w:id="412"/>
      <w:bookmarkEnd w:id="413"/>
      <w:bookmarkEnd w:id="414"/>
    </w:p>
    <w:p>
      <w:pPr>
        <w:ind w:firstLine="0" w:firstLineChars="0"/>
      </w:pPr>
      <w:r>
        <w:rPr>
          <w:rFonts w:hint="eastAsia"/>
        </w:rPr>
        <w:t>（图表数据来源：从业人员版等级保护实施与企业合规专题第8题：您认为政府部门提供的哪些网络安全服务对行业有较大帮助？）</w:t>
      </w:r>
    </w:p>
    <w:p>
      <w:pPr>
        <w:ind w:firstLine="0" w:firstLineChars="0"/>
      </w:pPr>
    </w:p>
    <w:p>
      <w:r>
        <w:rPr>
          <w:rFonts w:hint="eastAsia"/>
        </w:rPr>
        <w:t>（9）从业人员网络安全培训情况</w:t>
      </w:r>
    </w:p>
    <w:p>
      <w:r>
        <w:rPr>
          <w:rFonts w:hint="eastAsia"/>
        </w:rPr>
        <w:t>从业人员接受过网络安全培训最多前三位是本单位组织的培训（60.78%）、政府部门组织的培训（34.78%）、专业机构培训（30.48%）。但也有19.93%的从业人员从未接受过培训。</w:t>
      </w:r>
    </w:p>
    <w:p>
      <w:pPr>
        <w:ind w:firstLine="0" w:firstLineChars="0"/>
        <w:jc w:val="center"/>
      </w:pPr>
      <w:r>
        <w:drawing>
          <wp:inline distT="0" distB="0" distL="0" distR="0">
            <wp:extent cx="5156835" cy="2435860"/>
            <wp:effectExtent l="5080" t="4445" r="19685" b="17145"/>
            <wp:docPr id="456" name="图表 45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pPr>
        <w:pStyle w:val="5"/>
        <w:jc w:val="center"/>
      </w:pPr>
      <w:bookmarkStart w:id="415" w:name="_Toc48815656"/>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32</w:t>
      </w:r>
      <w:r>
        <w:rPr>
          <w:rFonts w:hint="eastAsia"/>
        </w:rPr>
        <w:fldChar w:fldCharType="end"/>
      </w:r>
      <w:bookmarkStart w:id="416" w:name="_Toc15855"/>
      <w:bookmarkStart w:id="417" w:name="_Toc25540"/>
      <w:bookmarkStart w:id="418" w:name="_Toc7403"/>
      <w:bookmarkStart w:id="419" w:name="_Toc16434"/>
      <w:bookmarkStart w:id="420" w:name="_Toc31575"/>
      <w:bookmarkStart w:id="421" w:name="_Toc1326"/>
      <w:bookmarkStart w:id="422" w:name="_Toc30387"/>
      <w:bookmarkStart w:id="423" w:name="_Toc6778"/>
      <w:bookmarkStart w:id="424" w:name="_Toc3115"/>
      <w:r>
        <w:rPr>
          <w:rFonts w:hint="eastAsia"/>
        </w:rPr>
        <w:t>：从业人员网络安全培训情况</w:t>
      </w:r>
      <w:bookmarkEnd w:id="415"/>
      <w:bookmarkEnd w:id="416"/>
      <w:bookmarkEnd w:id="417"/>
      <w:bookmarkEnd w:id="418"/>
      <w:bookmarkEnd w:id="419"/>
      <w:bookmarkEnd w:id="420"/>
      <w:bookmarkEnd w:id="421"/>
      <w:bookmarkEnd w:id="422"/>
      <w:bookmarkEnd w:id="423"/>
      <w:bookmarkEnd w:id="424"/>
    </w:p>
    <w:p>
      <w:pPr>
        <w:ind w:firstLine="0" w:firstLineChars="0"/>
      </w:pPr>
      <w:r>
        <w:rPr>
          <w:rFonts w:hint="eastAsia"/>
        </w:rPr>
        <w:t>（图表数据来源：从业人员版等级保护实施与企业合规专题第9题：在过去的一年里，您接受过哪些网络安全培训？）</w:t>
      </w:r>
    </w:p>
    <w:p>
      <w:pPr>
        <w:ind w:firstLine="0" w:firstLineChars="0"/>
      </w:pPr>
    </w:p>
    <w:p>
      <w:r>
        <w:rPr>
          <w:rFonts w:hint="eastAsia"/>
        </w:rPr>
        <w:t>（9.1）对网络安全“三化”概念的认识</w:t>
      </w:r>
    </w:p>
    <w:p>
      <w:r>
        <w:rPr>
          <w:rFonts w:hint="eastAsia"/>
        </w:rPr>
        <w:t>从业人员对公安机关提出的网络安全“三化”认识度为体系化（76.16%）、常态化（72.22%）、实战化（66.09</w:t>
      </w:r>
      <w:r>
        <w:t>%</w:t>
      </w:r>
      <w:r>
        <w:rPr>
          <w:rFonts w:hint="eastAsia"/>
        </w:rPr>
        <w:t>）。</w:t>
      </w:r>
    </w:p>
    <w:p>
      <w:pPr>
        <w:ind w:firstLine="0" w:firstLineChars="0"/>
        <w:jc w:val="center"/>
      </w:pPr>
      <w:r>
        <w:drawing>
          <wp:inline distT="0" distB="0" distL="0" distR="0">
            <wp:extent cx="5195570" cy="2482215"/>
            <wp:effectExtent l="4445" t="4445" r="19685" b="8890"/>
            <wp:docPr id="458" name="图表 45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pPr>
        <w:pStyle w:val="5"/>
        <w:jc w:val="center"/>
      </w:pPr>
      <w:bookmarkStart w:id="425" w:name="_Toc48815657"/>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33</w:t>
      </w:r>
      <w:r>
        <w:rPr>
          <w:rFonts w:hint="eastAsia"/>
        </w:rPr>
        <w:fldChar w:fldCharType="end"/>
      </w:r>
      <w:bookmarkStart w:id="426" w:name="_Toc12736"/>
      <w:bookmarkStart w:id="427" w:name="_Toc11228"/>
      <w:bookmarkStart w:id="428" w:name="_Toc23569"/>
      <w:bookmarkStart w:id="429" w:name="_Toc18789"/>
      <w:bookmarkStart w:id="430" w:name="_Toc26854"/>
      <w:bookmarkStart w:id="431" w:name="_Toc1488"/>
      <w:bookmarkStart w:id="432" w:name="_Toc9507"/>
      <w:bookmarkStart w:id="433" w:name="_Toc22815"/>
      <w:bookmarkStart w:id="434" w:name="_Toc18798"/>
      <w:r>
        <w:rPr>
          <w:rFonts w:hint="eastAsia"/>
        </w:rPr>
        <w:t>：从业人员对网络安全“三化”概念的认识</w:t>
      </w:r>
      <w:bookmarkEnd w:id="425"/>
      <w:bookmarkEnd w:id="426"/>
      <w:bookmarkEnd w:id="427"/>
      <w:bookmarkEnd w:id="428"/>
      <w:bookmarkEnd w:id="429"/>
      <w:bookmarkEnd w:id="430"/>
      <w:bookmarkEnd w:id="431"/>
      <w:bookmarkEnd w:id="432"/>
      <w:bookmarkEnd w:id="433"/>
      <w:bookmarkEnd w:id="434"/>
    </w:p>
    <w:p>
      <w:pPr>
        <w:ind w:firstLine="0" w:firstLineChars="0"/>
      </w:pPr>
      <w:r>
        <w:rPr>
          <w:rFonts w:hint="eastAsia"/>
        </w:rPr>
        <w:t>（图表数据来源：从业人员版等级保护实施与企业合规专题第9.</w:t>
      </w:r>
      <w:r>
        <w:t>1</w:t>
      </w:r>
      <w:r>
        <w:rPr>
          <w:rFonts w:hint="eastAsia"/>
        </w:rPr>
        <w:t>题：您知道</w:t>
      </w:r>
      <w:bookmarkStart w:id="435" w:name="_Hlk48557135"/>
      <w:r>
        <w:rPr>
          <w:rFonts w:hint="eastAsia"/>
        </w:rPr>
        <w:t>公安机关提出的网络安全“三化”具体是指哪些方面</w:t>
      </w:r>
      <w:bookmarkEnd w:id="435"/>
      <w:r>
        <w:rPr>
          <w:rFonts w:hint="eastAsia"/>
        </w:rPr>
        <w:t>？）</w:t>
      </w:r>
    </w:p>
    <w:p>
      <w:pPr>
        <w:ind w:firstLine="0" w:firstLineChars="0"/>
      </w:pPr>
    </w:p>
    <w:p>
      <w:r>
        <w:rPr>
          <w:rFonts w:hint="eastAsia"/>
        </w:rPr>
        <w:t>（9.2）对网络安全“六防”措施的认识</w:t>
      </w:r>
    </w:p>
    <w:p>
      <w:pPr>
        <w:ind w:firstLine="240" w:firstLineChars="100"/>
      </w:pPr>
      <w:r>
        <w:rPr>
          <w:rFonts w:hint="eastAsia"/>
        </w:rPr>
        <w:t>从业人员对公安机关提出的网络安全“六防”措施的认识度为动态防御（90.11%）、主动防御（86.95%）、精准防护（84.93</w:t>
      </w:r>
      <w:r>
        <w:t>%</w:t>
      </w:r>
      <w:r>
        <w:rPr>
          <w:rFonts w:hint="eastAsia"/>
        </w:rPr>
        <w:t>）、纵深防御（84.03%）、整体防控（82.11%）、联防联控（82.01%）。</w:t>
      </w:r>
    </w:p>
    <w:p>
      <w:pPr>
        <w:ind w:firstLine="0" w:firstLineChars="0"/>
        <w:jc w:val="center"/>
      </w:pPr>
      <w:r>
        <w:drawing>
          <wp:inline distT="0" distB="0" distL="0" distR="0">
            <wp:extent cx="5162550" cy="2418080"/>
            <wp:effectExtent l="4445" t="4445" r="14605" b="15875"/>
            <wp:docPr id="461" name="图表 46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pPr>
        <w:pStyle w:val="5"/>
        <w:jc w:val="center"/>
      </w:pPr>
      <w:bookmarkStart w:id="436" w:name="_Toc48815658"/>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34</w:t>
      </w:r>
      <w:r>
        <w:rPr>
          <w:rFonts w:hint="eastAsia"/>
        </w:rPr>
        <w:fldChar w:fldCharType="end"/>
      </w:r>
      <w:bookmarkStart w:id="437" w:name="_Toc31191"/>
      <w:bookmarkStart w:id="438" w:name="_Toc27262"/>
      <w:bookmarkStart w:id="439" w:name="_Toc2023"/>
      <w:bookmarkStart w:id="440" w:name="_Toc22823"/>
      <w:bookmarkStart w:id="441" w:name="_Toc31704"/>
      <w:bookmarkStart w:id="442" w:name="_Toc20747"/>
      <w:bookmarkStart w:id="443" w:name="_Toc9577"/>
      <w:bookmarkStart w:id="444" w:name="_Toc31836"/>
      <w:bookmarkStart w:id="445" w:name="_Toc8776"/>
      <w:r>
        <w:rPr>
          <w:rFonts w:hint="eastAsia"/>
        </w:rPr>
        <w:t>：从业人员对网络安全“六防”措施的认识</w:t>
      </w:r>
      <w:bookmarkEnd w:id="436"/>
      <w:bookmarkEnd w:id="437"/>
      <w:bookmarkEnd w:id="438"/>
      <w:bookmarkEnd w:id="439"/>
      <w:bookmarkEnd w:id="440"/>
      <w:bookmarkEnd w:id="441"/>
      <w:bookmarkEnd w:id="442"/>
      <w:bookmarkEnd w:id="443"/>
      <w:bookmarkEnd w:id="444"/>
      <w:bookmarkEnd w:id="445"/>
    </w:p>
    <w:p>
      <w:pPr>
        <w:ind w:firstLine="0" w:firstLineChars="0"/>
      </w:pPr>
      <w:r>
        <w:rPr>
          <w:rFonts w:hint="eastAsia"/>
        </w:rPr>
        <w:t>（图表数据来源：从业人员版等级保护实施与企业合规专题第9.2题：您知道公安机关提出的网络安全“六防”措施具体是什么？）</w:t>
      </w:r>
    </w:p>
    <w:p>
      <w:pPr>
        <w:ind w:firstLine="0" w:firstLineChars="0"/>
      </w:pPr>
    </w:p>
    <w:p>
      <w:bookmarkStart w:id="446" w:name="_Hlk48557980"/>
      <w:r>
        <w:rPr>
          <w:rFonts w:hint="eastAsia"/>
        </w:rPr>
        <w:t>（10）网络安全等级保护制度的了解</w:t>
      </w:r>
    </w:p>
    <w:p>
      <w:r>
        <w:rPr>
          <w:rFonts w:hint="eastAsia"/>
        </w:rPr>
        <w:t>对网络安全等级保护制度了解方面，37.57%从业人员表示了解，39.63%从业人员表示知道等级保护，但不了解等级保护2.0， 完全不了解的占22.79%。</w:t>
      </w:r>
    </w:p>
    <w:p>
      <w:pPr>
        <w:ind w:firstLine="0" w:firstLineChars="0"/>
        <w:jc w:val="center"/>
      </w:pPr>
      <w:r>
        <w:drawing>
          <wp:inline distT="0" distB="0" distL="0" distR="0">
            <wp:extent cx="5295900" cy="2743200"/>
            <wp:effectExtent l="4445" t="4445" r="14605" b="14605"/>
            <wp:docPr id="463" name="图表 46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pPr>
        <w:pStyle w:val="5"/>
        <w:jc w:val="center"/>
      </w:pPr>
      <w:bookmarkStart w:id="447" w:name="_Toc48815659"/>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35</w:t>
      </w:r>
      <w:r>
        <w:rPr>
          <w:rFonts w:hint="eastAsia"/>
        </w:rPr>
        <w:fldChar w:fldCharType="end"/>
      </w:r>
      <w:bookmarkStart w:id="448" w:name="_Toc27915"/>
      <w:bookmarkStart w:id="449" w:name="_Toc32444"/>
      <w:bookmarkStart w:id="450" w:name="_Toc32138"/>
      <w:bookmarkStart w:id="451" w:name="_Toc11087"/>
      <w:bookmarkStart w:id="452" w:name="_Toc13631"/>
      <w:bookmarkStart w:id="453" w:name="_Toc29229"/>
      <w:bookmarkStart w:id="454" w:name="_Toc16145"/>
      <w:bookmarkStart w:id="455" w:name="_Toc7365"/>
      <w:bookmarkStart w:id="456" w:name="_Toc23000"/>
      <w:r>
        <w:rPr>
          <w:rFonts w:hint="eastAsia"/>
        </w:rPr>
        <w:t>：对网络安全等级保护制度2.0标准的了解</w:t>
      </w:r>
      <w:bookmarkEnd w:id="447"/>
      <w:bookmarkEnd w:id="448"/>
      <w:bookmarkEnd w:id="449"/>
      <w:bookmarkEnd w:id="450"/>
      <w:bookmarkEnd w:id="451"/>
      <w:bookmarkEnd w:id="452"/>
      <w:bookmarkEnd w:id="453"/>
      <w:bookmarkEnd w:id="454"/>
      <w:bookmarkEnd w:id="455"/>
      <w:bookmarkEnd w:id="456"/>
    </w:p>
    <w:p>
      <w:pPr>
        <w:ind w:firstLine="0" w:firstLineChars="0"/>
      </w:pPr>
      <w:r>
        <w:rPr>
          <w:rFonts w:hint="eastAsia"/>
        </w:rPr>
        <w:t>（图表数据来源：从业人员版等级保护实施与企业合规专题第10题：您了解网络安全等级保护制度2.0国家标准的要求吗？）</w:t>
      </w:r>
    </w:p>
    <w:p>
      <w:pPr>
        <w:ind w:firstLine="0" w:firstLineChars="0"/>
      </w:pPr>
    </w:p>
    <w:bookmarkEnd w:id="446"/>
    <w:p>
      <w:r>
        <w:rPr>
          <w:rFonts w:hint="eastAsia"/>
        </w:rPr>
        <w:t>（10.1）网络安全等级保护对产业、企业发展的推动作用</w:t>
      </w:r>
    </w:p>
    <w:p>
      <w:r>
        <w:rPr>
          <w:rFonts w:hint="eastAsia"/>
        </w:rPr>
        <w:t>网络安全等级保护对产业、企业发展的推动作用方面，56.86%从业人员表示作用很大，30.07%从业人员表示比较大，即86.93%从业人员认为推动作用很大或比较大。</w:t>
      </w:r>
    </w:p>
    <w:p>
      <w:pPr>
        <w:ind w:firstLine="0" w:firstLineChars="0"/>
        <w:jc w:val="center"/>
      </w:pPr>
      <w:r>
        <w:drawing>
          <wp:inline distT="0" distB="0" distL="0" distR="0">
            <wp:extent cx="5158105" cy="2810510"/>
            <wp:effectExtent l="4445" t="4445" r="19050" b="23495"/>
            <wp:docPr id="465" name="图表 46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pPr>
        <w:pStyle w:val="5"/>
        <w:jc w:val="center"/>
      </w:pPr>
      <w:bookmarkStart w:id="457" w:name="_Toc48815660"/>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36</w:t>
      </w:r>
      <w:r>
        <w:rPr>
          <w:rFonts w:hint="eastAsia"/>
        </w:rPr>
        <w:fldChar w:fldCharType="end"/>
      </w:r>
      <w:bookmarkStart w:id="458" w:name="_Toc11740"/>
      <w:bookmarkStart w:id="459" w:name="_Toc12676"/>
      <w:bookmarkStart w:id="460" w:name="_Toc26380"/>
      <w:bookmarkStart w:id="461" w:name="_Toc21303"/>
      <w:bookmarkStart w:id="462" w:name="_Toc4988"/>
      <w:bookmarkStart w:id="463" w:name="_Toc602"/>
      <w:bookmarkStart w:id="464" w:name="_Toc2615"/>
      <w:bookmarkStart w:id="465" w:name="_Toc10809"/>
      <w:bookmarkStart w:id="466" w:name="_Toc3812"/>
      <w:r>
        <w:rPr>
          <w:rFonts w:hint="eastAsia"/>
        </w:rPr>
        <w:t>：网络安全等级保护对产业、企业发展的推动作用</w:t>
      </w:r>
      <w:bookmarkEnd w:id="457"/>
      <w:bookmarkEnd w:id="458"/>
      <w:bookmarkEnd w:id="459"/>
      <w:bookmarkEnd w:id="460"/>
      <w:bookmarkEnd w:id="461"/>
      <w:bookmarkEnd w:id="462"/>
      <w:bookmarkEnd w:id="463"/>
      <w:bookmarkEnd w:id="464"/>
      <w:bookmarkEnd w:id="465"/>
      <w:bookmarkEnd w:id="466"/>
    </w:p>
    <w:p>
      <w:pPr>
        <w:ind w:firstLine="0" w:firstLineChars="0"/>
      </w:pPr>
      <w:r>
        <w:rPr>
          <w:rFonts w:hint="eastAsia"/>
        </w:rPr>
        <w:t>（图表数据来源：从业人员版等级保护实施与企业合规专题第10.1题：您认为网络安全等级保护对产业、企业发展的推动作用如何？）</w:t>
      </w:r>
    </w:p>
    <w:p>
      <w:pPr>
        <w:ind w:firstLine="0" w:firstLineChars="0"/>
      </w:pPr>
    </w:p>
    <w:p>
      <w:r>
        <w:rPr>
          <w:rFonts w:hint="eastAsia"/>
        </w:rPr>
        <w:t>（11）单位网络安全等级保护开展情况</w:t>
      </w:r>
    </w:p>
    <w:p>
      <w:r>
        <w:rPr>
          <w:rFonts w:hint="eastAsia"/>
        </w:rPr>
        <w:t>从业人员所在单位网络安全等级保护开展方面，58.48%从业人员所在单位做了信息系统定级备案，51.96</w:t>
      </w:r>
      <w:r>
        <w:t>%</w:t>
      </w:r>
      <w:r>
        <w:rPr>
          <w:rFonts w:hint="eastAsia"/>
        </w:rPr>
        <w:t>开展了信息系统安全建设整改，51.60%进行了信息系统安全测评，53.84%开展了网络安全自查，但仍有10</w:t>
      </w:r>
      <w:r>
        <w:t>.24%</w:t>
      </w:r>
      <w:r>
        <w:rPr>
          <w:rFonts w:hint="eastAsia"/>
        </w:rPr>
        <w:t>从业人员所在单位没有进行过网络安全等级保护工作。</w:t>
      </w:r>
    </w:p>
    <w:p>
      <w:pPr>
        <w:ind w:firstLine="0" w:firstLineChars="0"/>
        <w:jc w:val="center"/>
      </w:pPr>
      <w:r>
        <w:drawing>
          <wp:inline distT="0" distB="0" distL="0" distR="0">
            <wp:extent cx="5280660" cy="2743200"/>
            <wp:effectExtent l="4445" t="4445" r="10795" b="14605"/>
            <wp:docPr id="467" name="图表 46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pPr>
        <w:pStyle w:val="5"/>
        <w:jc w:val="center"/>
      </w:pPr>
      <w:bookmarkStart w:id="467" w:name="_Toc48815661"/>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37</w:t>
      </w:r>
      <w:r>
        <w:rPr>
          <w:rFonts w:hint="eastAsia"/>
        </w:rPr>
        <w:fldChar w:fldCharType="end"/>
      </w:r>
      <w:bookmarkStart w:id="468" w:name="_Toc32733"/>
      <w:bookmarkStart w:id="469" w:name="_Toc279"/>
      <w:bookmarkStart w:id="470" w:name="_Toc32048"/>
      <w:bookmarkStart w:id="471" w:name="_Toc11399"/>
      <w:bookmarkStart w:id="472" w:name="_Toc3121"/>
      <w:bookmarkStart w:id="473" w:name="_Toc14452"/>
      <w:bookmarkStart w:id="474" w:name="_Toc30384"/>
      <w:bookmarkStart w:id="475" w:name="_Toc30706"/>
      <w:bookmarkStart w:id="476" w:name="_Toc21716"/>
      <w:r>
        <w:rPr>
          <w:rFonts w:hint="eastAsia"/>
        </w:rPr>
        <w:t>：所在单位网络安全等级保护开展情况</w:t>
      </w:r>
      <w:bookmarkEnd w:id="467"/>
      <w:bookmarkEnd w:id="468"/>
      <w:bookmarkEnd w:id="469"/>
      <w:bookmarkEnd w:id="470"/>
      <w:bookmarkEnd w:id="471"/>
      <w:bookmarkEnd w:id="472"/>
      <w:bookmarkEnd w:id="473"/>
      <w:bookmarkEnd w:id="474"/>
      <w:bookmarkEnd w:id="475"/>
      <w:bookmarkEnd w:id="476"/>
    </w:p>
    <w:p>
      <w:pPr>
        <w:ind w:firstLine="0" w:firstLineChars="0"/>
      </w:pPr>
      <w:r>
        <w:rPr>
          <w:rFonts w:hint="eastAsia"/>
        </w:rPr>
        <w:t>（图表数据来源：从业人员版等级保护实施与企业合规专题第11题：您所在单位是否进行过以下网络安全等级保护工作？）</w:t>
      </w:r>
    </w:p>
    <w:p>
      <w:pPr>
        <w:ind w:firstLine="0" w:firstLineChars="0"/>
      </w:pPr>
    </w:p>
    <w:p>
      <w:r>
        <w:rPr>
          <w:rFonts w:hint="eastAsia"/>
        </w:rPr>
        <w:t>（11．1）测评机构服务满意度评价</w:t>
      </w:r>
    </w:p>
    <w:p>
      <w:r>
        <w:rPr>
          <w:rFonts w:hint="eastAsia"/>
        </w:rPr>
        <w:t>对网络安全测评机构服务满意评价方面，46.11%从业人员评价为满意，33.95%从业人员评价为非常满意，合计80.06%从业人员对测评服务表示满意和非常满意，认为一般的有18.18%。</w:t>
      </w:r>
    </w:p>
    <w:p>
      <w:pPr>
        <w:ind w:firstLine="0" w:firstLineChars="0"/>
        <w:jc w:val="center"/>
      </w:pPr>
      <w:r>
        <w:drawing>
          <wp:inline distT="0" distB="0" distL="0" distR="0">
            <wp:extent cx="5002530" cy="2687955"/>
            <wp:effectExtent l="4445" t="4445" r="22225" b="12700"/>
            <wp:docPr id="470" name="图表 470"/>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pPr>
        <w:pStyle w:val="5"/>
        <w:jc w:val="center"/>
      </w:pPr>
      <w:bookmarkStart w:id="477" w:name="_Toc48815662"/>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38</w:t>
      </w:r>
      <w:r>
        <w:rPr>
          <w:rFonts w:hint="eastAsia"/>
        </w:rPr>
        <w:fldChar w:fldCharType="end"/>
      </w:r>
      <w:bookmarkStart w:id="478" w:name="_Toc6793"/>
      <w:bookmarkStart w:id="479" w:name="_Toc30615"/>
      <w:bookmarkStart w:id="480" w:name="_Toc22201"/>
      <w:bookmarkStart w:id="481" w:name="_Toc22890"/>
      <w:bookmarkStart w:id="482" w:name="_Toc10211"/>
      <w:bookmarkStart w:id="483" w:name="_Toc21279"/>
      <w:bookmarkStart w:id="484" w:name="_Toc7561"/>
      <w:bookmarkStart w:id="485" w:name="_Toc18362"/>
      <w:bookmarkStart w:id="486" w:name="_Toc14958"/>
      <w:r>
        <w:rPr>
          <w:rFonts w:hint="eastAsia"/>
        </w:rPr>
        <w:t>：对测评机构服务满意度评价</w:t>
      </w:r>
      <w:bookmarkEnd w:id="477"/>
      <w:bookmarkEnd w:id="478"/>
      <w:bookmarkEnd w:id="479"/>
      <w:bookmarkEnd w:id="480"/>
      <w:bookmarkEnd w:id="481"/>
      <w:bookmarkEnd w:id="482"/>
      <w:bookmarkEnd w:id="483"/>
      <w:bookmarkEnd w:id="484"/>
      <w:bookmarkEnd w:id="485"/>
      <w:bookmarkEnd w:id="486"/>
    </w:p>
    <w:p>
      <w:pPr>
        <w:ind w:firstLine="0" w:firstLineChars="0"/>
      </w:pPr>
      <w:r>
        <w:rPr>
          <w:rFonts w:hint="eastAsia"/>
        </w:rPr>
        <w:t>（图表数据来源：从业人员版等级保护实施与企业合规专题第11.1题：您对测评机构进行测评工作的满意度评价如何？）</w:t>
      </w:r>
    </w:p>
    <w:p>
      <w:pPr>
        <w:ind w:firstLine="0" w:firstLineChars="0"/>
      </w:pPr>
    </w:p>
    <w:p>
      <w:r>
        <w:rPr>
          <w:rFonts w:hint="eastAsia"/>
        </w:rPr>
        <w:t>（11.2）对测评服务不满意的原因</w:t>
      </w:r>
    </w:p>
    <w:p>
      <w:r>
        <w:rPr>
          <w:rFonts w:hint="eastAsia"/>
        </w:rPr>
        <w:t>对测评服务不满意的原因方面：30.32%从业人员认为是专业能力欠缺，17.21%收费不合理，13.93%认为是整改措施不切实际，11.47%从业人员认为过程复杂效率低。</w:t>
      </w:r>
    </w:p>
    <w:p>
      <w:pPr>
        <w:ind w:firstLine="0" w:firstLineChars="0"/>
      </w:pPr>
      <w:r>
        <w:drawing>
          <wp:inline distT="0" distB="0" distL="0" distR="0">
            <wp:extent cx="5257800" cy="2743200"/>
            <wp:effectExtent l="4445" t="4445" r="14605" b="14605"/>
            <wp:docPr id="472" name="图表 47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pPr>
        <w:pStyle w:val="5"/>
        <w:jc w:val="center"/>
      </w:pPr>
      <w:bookmarkStart w:id="487" w:name="_Toc48815663"/>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39</w:t>
      </w:r>
      <w:r>
        <w:rPr>
          <w:rFonts w:hint="eastAsia"/>
        </w:rPr>
        <w:fldChar w:fldCharType="end"/>
      </w:r>
      <w:bookmarkStart w:id="488" w:name="_Toc2348"/>
      <w:bookmarkStart w:id="489" w:name="_Toc31974"/>
      <w:bookmarkStart w:id="490" w:name="_Toc28551"/>
      <w:bookmarkStart w:id="491" w:name="_Toc21011"/>
      <w:bookmarkStart w:id="492" w:name="_Toc19913"/>
      <w:bookmarkStart w:id="493" w:name="_Toc7545"/>
      <w:bookmarkStart w:id="494" w:name="_Toc2200"/>
      <w:bookmarkStart w:id="495" w:name="_Toc11961"/>
      <w:bookmarkStart w:id="496" w:name="_Toc3963"/>
      <w:r>
        <w:rPr>
          <w:rFonts w:hint="eastAsia"/>
        </w:rPr>
        <w:t>：对测评服务不满意的原因</w:t>
      </w:r>
      <w:bookmarkEnd w:id="487"/>
      <w:bookmarkEnd w:id="488"/>
      <w:bookmarkEnd w:id="489"/>
      <w:bookmarkEnd w:id="490"/>
      <w:bookmarkEnd w:id="491"/>
      <w:bookmarkEnd w:id="492"/>
      <w:bookmarkEnd w:id="493"/>
      <w:bookmarkEnd w:id="494"/>
      <w:bookmarkEnd w:id="495"/>
      <w:bookmarkEnd w:id="496"/>
    </w:p>
    <w:p>
      <w:pPr>
        <w:ind w:firstLine="0" w:firstLineChars="0"/>
      </w:pPr>
      <w:r>
        <w:rPr>
          <w:rFonts w:hint="eastAsia"/>
        </w:rPr>
        <w:t>（图表数据来源：从业人员版等级保护实施与企业合规专题第11.2题：您不满意的原因是？）</w:t>
      </w:r>
    </w:p>
    <w:p>
      <w:pPr>
        <w:ind w:firstLine="0" w:firstLineChars="0"/>
      </w:pPr>
    </w:p>
    <w:p>
      <w:r>
        <w:rPr>
          <w:rFonts w:hint="eastAsia"/>
        </w:rPr>
        <w:t>（12）单位发生网络安全事件情况</w:t>
      </w:r>
    </w:p>
    <w:p>
      <w:r>
        <w:rPr>
          <w:rFonts w:hint="eastAsia"/>
        </w:rPr>
        <w:t>从业人员所在单位发生网络安全事件方面，20.11%从业人员所在单位发生过网络安全事件，52.54</w:t>
      </w:r>
      <w:r>
        <w:t>%</w:t>
      </w:r>
      <w:r>
        <w:rPr>
          <w:rFonts w:hint="eastAsia"/>
        </w:rPr>
        <w:t>没有发生过网络安全事件，还有27.33%从业人员表示不清楚。</w:t>
      </w:r>
    </w:p>
    <w:p>
      <w:pPr>
        <w:ind w:firstLine="0" w:firstLineChars="0"/>
        <w:jc w:val="center"/>
      </w:pPr>
      <w:r>
        <w:drawing>
          <wp:inline distT="0" distB="0" distL="0" distR="0">
            <wp:extent cx="5265420" cy="2743200"/>
            <wp:effectExtent l="4445" t="4445" r="6985" b="14605"/>
            <wp:docPr id="475" name="图表 475"/>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pPr>
        <w:pStyle w:val="5"/>
        <w:jc w:val="center"/>
      </w:pPr>
      <w:bookmarkStart w:id="497" w:name="_Toc48815664"/>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40</w:t>
      </w:r>
      <w:r>
        <w:rPr>
          <w:rFonts w:hint="eastAsia"/>
        </w:rPr>
        <w:fldChar w:fldCharType="end"/>
      </w:r>
      <w:bookmarkStart w:id="498" w:name="_Toc15413"/>
      <w:bookmarkStart w:id="499" w:name="_Toc14536"/>
      <w:bookmarkStart w:id="500" w:name="_Toc22789"/>
      <w:bookmarkStart w:id="501" w:name="_Toc10981"/>
      <w:bookmarkStart w:id="502" w:name="_Toc12096"/>
      <w:bookmarkStart w:id="503" w:name="_Toc28261"/>
      <w:bookmarkStart w:id="504" w:name="_Toc32347"/>
      <w:bookmarkStart w:id="505" w:name="_Toc16162"/>
      <w:bookmarkStart w:id="506" w:name="_Toc20285"/>
      <w:r>
        <w:rPr>
          <w:rFonts w:hint="eastAsia"/>
        </w:rPr>
        <w:t>：所在单位发生网络安全事件</w:t>
      </w:r>
      <w:bookmarkEnd w:id="497"/>
      <w:bookmarkEnd w:id="498"/>
      <w:bookmarkEnd w:id="499"/>
      <w:bookmarkEnd w:id="500"/>
      <w:bookmarkEnd w:id="501"/>
      <w:bookmarkEnd w:id="502"/>
      <w:bookmarkEnd w:id="503"/>
      <w:bookmarkEnd w:id="504"/>
      <w:bookmarkEnd w:id="505"/>
      <w:bookmarkEnd w:id="506"/>
    </w:p>
    <w:p>
      <w:pPr>
        <w:ind w:firstLine="0" w:firstLineChars="0"/>
      </w:pPr>
      <w:r>
        <w:rPr>
          <w:rFonts w:hint="eastAsia"/>
        </w:rPr>
        <w:t>（图表数据来源：从业人员版等级保护实施与企业合规专题第12题：您所在单位发生过网络安全事件吗？）</w:t>
      </w:r>
    </w:p>
    <w:p>
      <w:pPr>
        <w:ind w:firstLine="0" w:firstLineChars="0"/>
      </w:pPr>
    </w:p>
    <w:p>
      <w:r>
        <w:rPr>
          <w:rFonts w:hint="eastAsia"/>
        </w:rPr>
        <w:t>（12．1）单位发生网络安全事件种类</w:t>
      </w:r>
    </w:p>
    <w:p>
      <w:r>
        <w:rPr>
          <w:rFonts w:hint="eastAsia"/>
        </w:rPr>
        <w:t>对所在单位发生的网络安全事件方面，在发生过安全事件的单位中53.15%从业人员所在单位发生过单位网站被攻击，34.84%从业人员单位发生过感染病毒或恶意程序，30.55%发生过数据信息泄露、30.55%发生过网络和信息系统瘫痪。</w:t>
      </w:r>
    </w:p>
    <w:p>
      <w:pPr>
        <w:ind w:firstLine="0" w:firstLineChars="0"/>
        <w:jc w:val="center"/>
      </w:pPr>
      <w:r>
        <w:drawing>
          <wp:inline distT="0" distB="0" distL="0" distR="0">
            <wp:extent cx="5288280" cy="2743200"/>
            <wp:effectExtent l="4445" t="4445" r="22225" b="14605"/>
            <wp:docPr id="476" name="图表 476"/>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pPr>
        <w:pStyle w:val="5"/>
        <w:jc w:val="center"/>
      </w:pPr>
      <w:bookmarkStart w:id="507" w:name="_Toc48815665"/>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41</w:t>
      </w:r>
      <w:r>
        <w:rPr>
          <w:rFonts w:hint="eastAsia"/>
        </w:rPr>
        <w:fldChar w:fldCharType="end"/>
      </w:r>
      <w:bookmarkStart w:id="508" w:name="_Toc12711"/>
      <w:bookmarkStart w:id="509" w:name="_Toc3845"/>
      <w:bookmarkStart w:id="510" w:name="_Toc12138"/>
      <w:bookmarkStart w:id="511" w:name="_Toc25205"/>
      <w:bookmarkStart w:id="512" w:name="_Toc28703"/>
      <w:bookmarkStart w:id="513" w:name="_Toc851"/>
      <w:bookmarkStart w:id="514" w:name="_Toc1484"/>
      <w:bookmarkStart w:id="515" w:name="_Toc12696"/>
      <w:bookmarkStart w:id="516" w:name="_Toc9335"/>
      <w:r>
        <w:rPr>
          <w:rFonts w:hint="eastAsia"/>
        </w:rPr>
        <w:t>：单位发生网络安全事件种类</w:t>
      </w:r>
      <w:bookmarkEnd w:id="507"/>
      <w:bookmarkEnd w:id="508"/>
      <w:bookmarkEnd w:id="509"/>
      <w:bookmarkEnd w:id="510"/>
      <w:bookmarkEnd w:id="511"/>
      <w:bookmarkEnd w:id="512"/>
      <w:bookmarkEnd w:id="513"/>
      <w:bookmarkEnd w:id="514"/>
      <w:bookmarkEnd w:id="515"/>
      <w:bookmarkEnd w:id="516"/>
    </w:p>
    <w:p>
      <w:pPr>
        <w:ind w:firstLine="0" w:firstLineChars="0"/>
      </w:pPr>
      <w:r>
        <w:rPr>
          <w:rFonts w:hint="eastAsia"/>
        </w:rPr>
        <w:t>（图表数据来源：从业人员版等级保护实施与企业合规专题第12.1题：发生了什么事件？）</w:t>
      </w:r>
    </w:p>
    <w:p>
      <w:pPr>
        <w:ind w:firstLine="0" w:firstLineChars="0"/>
      </w:pPr>
    </w:p>
    <w:p>
      <w:r>
        <w:rPr>
          <w:rFonts w:hint="eastAsia"/>
        </w:rPr>
        <w:t>（12．2）单位网络安全应急预案完善度</w:t>
      </w:r>
    </w:p>
    <w:p>
      <w:pPr>
        <w:ind w:firstLine="0" w:firstLineChars="0"/>
      </w:pPr>
      <w:r>
        <w:rPr>
          <w:rFonts w:hint="eastAsia"/>
        </w:rPr>
        <w:t>对所在单位网络安全应急预案建设方面，27.44%从业人员认为很完善，34.38%认为较完善、23.70%认为一般。即6</w:t>
      </w:r>
      <w:r>
        <w:t>1.82%</w:t>
      </w:r>
      <w:r>
        <w:rPr>
          <w:rFonts w:hint="eastAsia"/>
        </w:rPr>
        <w:t>从业人员认为单位网络安全应急预案完善或较为完善。</w:t>
      </w:r>
    </w:p>
    <w:p>
      <w:pPr>
        <w:ind w:firstLine="0" w:firstLineChars="0"/>
        <w:jc w:val="center"/>
      </w:pPr>
      <w:r>
        <w:drawing>
          <wp:inline distT="0" distB="0" distL="0" distR="0">
            <wp:extent cx="4918075" cy="2529840"/>
            <wp:effectExtent l="4445" t="4445" r="11430" b="18415"/>
            <wp:docPr id="478" name="图表 478"/>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pPr>
        <w:pStyle w:val="5"/>
        <w:jc w:val="center"/>
      </w:pPr>
      <w:bookmarkStart w:id="517" w:name="_Toc48815666"/>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42</w:t>
      </w:r>
      <w:r>
        <w:rPr>
          <w:rFonts w:hint="eastAsia"/>
        </w:rPr>
        <w:fldChar w:fldCharType="end"/>
      </w:r>
      <w:bookmarkStart w:id="518" w:name="_Toc22446"/>
      <w:bookmarkStart w:id="519" w:name="_Toc13712"/>
      <w:bookmarkStart w:id="520" w:name="_Toc22359"/>
      <w:bookmarkStart w:id="521" w:name="_Toc5213"/>
      <w:bookmarkStart w:id="522" w:name="_Toc17337"/>
      <w:bookmarkStart w:id="523" w:name="_Toc4351"/>
      <w:bookmarkStart w:id="524" w:name="_Toc29077"/>
      <w:bookmarkStart w:id="525" w:name="_Toc24976"/>
      <w:bookmarkStart w:id="526" w:name="_Toc21204"/>
      <w:r>
        <w:rPr>
          <w:rFonts w:hint="eastAsia"/>
        </w:rPr>
        <w:t>：单位网络安全应急预案完善度</w:t>
      </w:r>
      <w:bookmarkEnd w:id="517"/>
      <w:bookmarkEnd w:id="518"/>
      <w:bookmarkEnd w:id="519"/>
      <w:bookmarkEnd w:id="520"/>
      <w:bookmarkEnd w:id="521"/>
      <w:bookmarkEnd w:id="522"/>
      <w:bookmarkEnd w:id="523"/>
      <w:bookmarkEnd w:id="524"/>
      <w:bookmarkEnd w:id="525"/>
      <w:bookmarkEnd w:id="526"/>
    </w:p>
    <w:p>
      <w:pPr>
        <w:ind w:firstLine="0" w:firstLineChars="0"/>
      </w:pPr>
      <w:r>
        <w:rPr>
          <w:rFonts w:hint="eastAsia"/>
        </w:rPr>
        <w:t>（图表数据来源：从业人员版等级保护实施与企业合规专题第12.2题：您认为所在单位目前针对网络安全事件的应急预案是否完善？）</w:t>
      </w:r>
    </w:p>
    <w:p>
      <w:pPr>
        <w:ind w:firstLine="0" w:firstLineChars="0"/>
      </w:pPr>
    </w:p>
    <w:p>
      <w:r>
        <w:rPr>
          <w:rFonts w:hint="eastAsia"/>
        </w:rPr>
        <w:t>（12．3）单位网络安全事件报案情况</w:t>
      </w:r>
    </w:p>
    <w:p>
      <w:r>
        <w:rPr>
          <w:rFonts w:hint="eastAsia"/>
        </w:rPr>
        <w:t>对所在单位发生网络安全事件报案方面，52.09%从业人员所在单位报案了，32.49%从业人员所在单位没有报案，5.43%担心被处罚不敢报案，9.96%不知道如何报案。</w:t>
      </w:r>
    </w:p>
    <w:p>
      <w:pPr>
        <w:ind w:firstLine="0" w:firstLineChars="0"/>
        <w:jc w:val="center"/>
      </w:pPr>
      <w:r>
        <w:drawing>
          <wp:inline distT="0" distB="0" distL="0" distR="0">
            <wp:extent cx="5172075" cy="2712085"/>
            <wp:effectExtent l="4445" t="4445" r="5080" b="7620"/>
            <wp:docPr id="256" name="图表 256"/>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pPr>
        <w:pStyle w:val="5"/>
        <w:jc w:val="center"/>
      </w:pPr>
      <w:bookmarkStart w:id="527" w:name="_Toc48815667"/>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43</w:t>
      </w:r>
      <w:r>
        <w:rPr>
          <w:rFonts w:hint="eastAsia"/>
        </w:rPr>
        <w:fldChar w:fldCharType="end"/>
      </w:r>
      <w:bookmarkStart w:id="528" w:name="_Toc1903"/>
      <w:bookmarkStart w:id="529" w:name="_Toc192"/>
      <w:bookmarkStart w:id="530" w:name="_Toc29247"/>
      <w:bookmarkStart w:id="531" w:name="_Toc27172"/>
      <w:bookmarkStart w:id="532" w:name="_Toc9195"/>
      <w:bookmarkStart w:id="533" w:name="_Toc26349"/>
      <w:bookmarkStart w:id="534" w:name="_Toc15474"/>
      <w:bookmarkStart w:id="535" w:name="_Toc29498"/>
      <w:bookmarkStart w:id="536" w:name="_Toc7382"/>
      <w:r>
        <w:rPr>
          <w:rFonts w:hint="eastAsia"/>
        </w:rPr>
        <w:t>：单位网络安全事件报案情况</w:t>
      </w:r>
      <w:bookmarkEnd w:id="527"/>
      <w:bookmarkEnd w:id="528"/>
      <w:bookmarkEnd w:id="529"/>
      <w:bookmarkEnd w:id="530"/>
      <w:bookmarkEnd w:id="531"/>
      <w:bookmarkEnd w:id="532"/>
      <w:bookmarkEnd w:id="533"/>
      <w:bookmarkEnd w:id="534"/>
      <w:bookmarkEnd w:id="535"/>
      <w:bookmarkEnd w:id="536"/>
    </w:p>
    <w:p>
      <w:pPr>
        <w:ind w:firstLine="0" w:firstLineChars="0"/>
      </w:pPr>
      <w:r>
        <w:rPr>
          <w:rFonts w:hint="eastAsia"/>
        </w:rPr>
        <w:t>（图表数据来源：从业人员版等级保护实施与企业合规专题第12.3题：您所在单位针对发生的网络安全事件向公安机关报案了吗？）</w:t>
      </w:r>
    </w:p>
    <w:p>
      <w:pPr>
        <w:ind w:firstLine="0" w:firstLineChars="0"/>
      </w:pPr>
    </w:p>
    <w:p>
      <w:r>
        <w:rPr>
          <w:rFonts w:hint="eastAsia"/>
        </w:rPr>
        <w:t>（12．4）公安机关网络安全案件受理工作评价</w:t>
      </w:r>
    </w:p>
    <w:p>
      <w:r>
        <w:rPr>
          <w:rFonts w:hint="eastAsia"/>
        </w:rPr>
        <w:t>此项重庆省数据过少不做统计，附全国的统计数据作参考。对公安机关网络安全案件受理工作评价方面，53.49%从业人员认为非常满意，32.67%从业人员表示满意，11.07%表示一般，大部分（86.16%）从业人员对公安机关网络安全案件受理工作是满意或非常满意的。</w:t>
      </w:r>
    </w:p>
    <w:p>
      <w:pPr>
        <w:ind w:firstLine="0" w:firstLineChars="0"/>
        <w:jc w:val="center"/>
      </w:pPr>
      <w:r>
        <w:drawing>
          <wp:inline distT="0" distB="0" distL="0" distR="0">
            <wp:extent cx="4916170" cy="2614930"/>
            <wp:effectExtent l="4445" t="4445" r="13335" b="9525"/>
            <wp:docPr id="259" name="图表 259"/>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pPr>
        <w:pStyle w:val="5"/>
        <w:jc w:val="center"/>
      </w:pPr>
      <w:bookmarkStart w:id="537" w:name="_Toc48815668"/>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44</w:t>
      </w:r>
      <w:r>
        <w:rPr>
          <w:rFonts w:hint="eastAsia"/>
        </w:rPr>
        <w:fldChar w:fldCharType="end"/>
      </w:r>
      <w:bookmarkStart w:id="538" w:name="_Toc20722"/>
      <w:bookmarkStart w:id="539" w:name="_Toc9213"/>
      <w:bookmarkStart w:id="540" w:name="_Toc22460"/>
      <w:bookmarkStart w:id="541" w:name="_Toc20649"/>
      <w:bookmarkStart w:id="542" w:name="_Toc3576"/>
      <w:bookmarkStart w:id="543" w:name="_Toc32284"/>
      <w:bookmarkStart w:id="544" w:name="_Toc1221"/>
      <w:bookmarkStart w:id="545" w:name="_Toc29628"/>
      <w:bookmarkStart w:id="546" w:name="_Toc1666"/>
      <w:r>
        <w:rPr>
          <w:rFonts w:hint="eastAsia"/>
        </w:rPr>
        <w:t>：公安机关网络安全案件受理工作评价</w:t>
      </w:r>
      <w:bookmarkEnd w:id="537"/>
      <w:bookmarkEnd w:id="538"/>
      <w:bookmarkEnd w:id="539"/>
      <w:bookmarkEnd w:id="540"/>
      <w:bookmarkEnd w:id="541"/>
      <w:bookmarkEnd w:id="542"/>
      <w:bookmarkEnd w:id="543"/>
      <w:bookmarkEnd w:id="544"/>
      <w:bookmarkEnd w:id="545"/>
      <w:bookmarkEnd w:id="546"/>
    </w:p>
    <w:p>
      <w:pPr>
        <w:ind w:firstLine="0" w:firstLineChars="0"/>
      </w:pPr>
      <w:r>
        <w:rPr>
          <w:rFonts w:hint="eastAsia"/>
        </w:rPr>
        <w:t>（图表数据来源：从业人员版等级保护实施与企业合规专题第12.4题：您所在单位对公安机关案件受理是否满意？）</w:t>
      </w:r>
    </w:p>
    <w:p>
      <w:pPr>
        <w:ind w:firstLine="0" w:firstLineChars="0"/>
      </w:pPr>
    </w:p>
    <w:p>
      <w:r>
        <w:rPr>
          <w:rFonts w:hint="eastAsia"/>
        </w:rPr>
        <w:t>（12．5）公安机关网络安全案件受理不满意的原因</w:t>
      </w:r>
    </w:p>
    <w:p>
      <w:r>
        <w:rPr>
          <w:rFonts w:hint="eastAsia"/>
        </w:rPr>
        <w:t>此项重庆省数据过少不做统计，附全国的统计数据作参考。对公安机关网络安全案件受理工作不满意的原因，34.69%从业人员认为打击力度不够，效果不明显，22.44%从业人员认为没有结果，16.83%认为执法范围小，立案门槛高，9.69%认为专业能力欠缺。</w:t>
      </w:r>
    </w:p>
    <w:p>
      <w:pPr>
        <w:ind w:firstLine="0" w:firstLineChars="0"/>
        <w:jc w:val="center"/>
      </w:pPr>
      <w:r>
        <w:drawing>
          <wp:inline distT="0" distB="0" distL="0" distR="0">
            <wp:extent cx="5090160" cy="2615565"/>
            <wp:effectExtent l="0" t="0" r="15240" b="13335"/>
            <wp:docPr id="261" name="图表 26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pPr>
        <w:pStyle w:val="5"/>
        <w:jc w:val="center"/>
      </w:pPr>
      <w:bookmarkStart w:id="547" w:name="_Toc48815669"/>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45</w:t>
      </w:r>
      <w:r>
        <w:rPr>
          <w:rFonts w:hint="eastAsia"/>
        </w:rPr>
        <w:fldChar w:fldCharType="end"/>
      </w:r>
      <w:bookmarkStart w:id="548" w:name="_Toc2370"/>
      <w:bookmarkStart w:id="549" w:name="_Toc5342"/>
      <w:bookmarkStart w:id="550" w:name="_Toc6717"/>
      <w:bookmarkStart w:id="551" w:name="_Toc1591"/>
      <w:bookmarkStart w:id="552" w:name="_Toc32640"/>
      <w:bookmarkStart w:id="553" w:name="_Toc15823"/>
      <w:bookmarkStart w:id="554" w:name="_Toc7811"/>
      <w:bookmarkStart w:id="555" w:name="_Toc5046"/>
      <w:bookmarkStart w:id="556" w:name="_Toc5269"/>
      <w:r>
        <w:rPr>
          <w:rFonts w:hint="eastAsia"/>
        </w:rPr>
        <w:t>：公安机关网络安全案件受理不满意的原因</w:t>
      </w:r>
      <w:bookmarkEnd w:id="547"/>
      <w:bookmarkEnd w:id="548"/>
      <w:bookmarkEnd w:id="549"/>
      <w:bookmarkEnd w:id="550"/>
      <w:bookmarkEnd w:id="551"/>
      <w:bookmarkEnd w:id="552"/>
      <w:bookmarkEnd w:id="553"/>
      <w:bookmarkEnd w:id="554"/>
      <w:bookmarkEnd w:id="555"/>
      <w:bookmarkEnd w:id="556"/>
    </w:p>
    <w:p>
      <w:pPr>
        <w:ind w:firstLine="0" w:firstLineChars="0"/>
      </w:pPr>
      <w:r>
        <w:rPr>
          <w:rFonts w:hint="eastAsia"/>
        </w:rPr>
        <w:t>（图表数据来源：从业人员版等级保护实施与企业合规专题第12.5题：您认为不满意的原因是？）</w:t>
      </w:r>
    </w:p>
    <w:p>
      <w:pPr>
        <w:ind w:firstLine="0" w:firstLineChars="0"/>
      </w:pPr>
    </w:p>
    <w:p>
      <w:r>
        <w:rPr>
          <w:rFonts w:hint="eastAsia"/>
        </w:rPr>
        <w:t>（13）</w:t>
      </w:r>
      <w:bookmarkStart w:id="557" w:name="_Hlk48562713"/>
      <w:r>
        <w:rPr>
          <w:rFonts w:hint="eastAsia"/>
        </w:rPr>
        <w:t>对关键信息基础设施保护要求的认识</w:t>
      </w:r>
      <w:bookmarkEnd w:id="557"/>
    </w:p>
    <w:p>
      <w:r>
        <w:rPr>
          <w:rFonts w:hint="eastAsia"/>
        </w:rPr>
        <w:t>对关键信息基础设施保护要求的认识方面，46.72%从业人员认为了解而且单位已经实施，15.32%从业人员认为了解但还没有实施，18.80%认为知道但不清楚具体要求，19.69%认为不了解。</w:t>
      </w:r>
    </w:p>
    <w:p>
      <w:pPr>
        <w:ind w:firstLine="0" w:firstLineChars="0"/>
        <w:jc w:val="center"/>
      </w:pPr>
      <w:r>
        <w:drawing>
          <wp:inline distT="0" distB="0" distL="0" distR="0">
            <wp:extent cx="5219700" cy="2802255"/>
            <wp:effectExtent l="4445" t="4445" r="14605" b="12700"/>
            <wp:docPr id="263" name="图表 263"/>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pPr>
        <w:pStyle w:val="5"/>
        <w:jc w:val="center"/>
      </w:pPr>
      <w:bookmarkStart w:id="558" w:name="_Toc48815670"/>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46</w:t>
      </w:r>
      <w:r>
        <w:rPr>
          <w:rFonts w:hint="eastAsia"/>
        </w:rPr>
        <w:fldChar w:fldCharType="end"/>
      </w:r>
      <w:bookmarkStart w:id="559" w:name="_Toc31637"/>
      <w:bookmarkStart w:id="560" w:name="_Toc3349"/>
      <w:bookmarkStart w:id="561" w:name="_Toc21372"/>
      <w:bookmarkStart w:id="562" w:name="_Toc17484"/>
      <w:bookmarkStart w:id="563" w:name="_Toc7321"/>
      <w:bookmarkStart w:id="564" w:name="_Toc799"/>
      <w:bookmarkStart w:id="565" w:name="_Toc28709"/>
      <w:bookmarkStart w:id="566" w:name="_Toc16546"/>
      <w:bookmarkStart w:id="567" w:name="_Toc25435"/>
      <w:r>
        <w:rPr>
          <w:rFonts w:hint="eastAsia"/>
        </w:rPr>
        <w:t>：对关键信息基础设施安全保护要求的认识</w:t>
      </w:r>
      <w:bookmarkEnd w:id="558"/>
      <w:bookmarkEnd w:id="559"/>
      <w:bookmarkEnd w:id="560"/>
      <w:bookmarkEnd w:id="561"/>
      <w:bookmarkEnd w:id="562"/>
      <w:bookmarkEnd w:id="563"/>
      <w:bookmarkEnd w:id="564"/>
      <w:bookmarkEnd w:id="565"/>
      <w:bookmarkEnd w:id="566"/>
      <w:bookmarkEnd w:id="567"/>
    </w:p>
    <w:p>
      <w:pPr>
        <w:ind w:firstLine="0" w:firstLineChars="0"/>
      </w:pPr>
      <w:r>
        <w:rPr>
          <w:rFonts w:hint="eastAsia"/>
        </w:rPr>
        <w:t>（图表数据来源：从业人员版等级保护实施与企业合规专题第13题：您对关键信息基础设施安全保护要求了解吗？）</w:t>
      </w:r>
    </w:p>
    <w:p>
      <w:pPr>
        <w:ind w:firstLine="0" w:firstLineChars="0"/>
      </w:pPr>
    </w:p>
    <w:p>
      <w:r>
        <w:rPr>
          <w:rFonts w:hint="eastAsia"/>
        </w:rPr>
        <w:t>（14）网络安全检查落实情况</w:t>
      </w:r>
    </w:p>
    <w:p>
      <w:r>
        <w:rPr>
          <w:rFonts w:hint="eastAsia"/>
        </w:rPr>
        <w:t>对所在单位网络安全检查措施落实情况，72.10%从业人员表示所在单位有定期进行网络安全检查，10.20%从业人员所在单位没有定期进行网络安全检查， 17.69%表示不了解。</w:t>
      </w:r>
    </w:p>
    <w:p>
      <w:pPr>
        <w:ind w:firstLine="0" w:firstLineChars="0"/>
        <w:jc w:val="center"/>
      </w:pPr>
      <w:r>
        <w:drawing>
          <wp:inline distT="0" distB="0" distL="0" distR="0">
            <wp:extent cx="5066665" cy="2447925"/>
            <wp:effectExtent l="4445" t="4445" r="15240" b="5080"/>
            <wp:docPr id="265" name="图表 265"/>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pPr>
        <w:pStyle w:val="5"/>
        <w:jc w:val="center"/>
      </w:pPr>
      <w:bookmarkStart w:id="568" w:name="_Toc48815671"/>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47</w:t>
      </w:r>
      <w:r>
        <w:rPr>
          <w:rFonts w:hint="eastAsia"/>
        </w:rPr>
        <w:fldChar w:fldCharType="end"/>
      </w:r>
      <w:bookmarkStart w:id="569" w:name="_Toc6409"/>
      <w:bookmarkStart w:id="570" w:name="_Toc17647"/>
      <w:bookmarkStart w:id="571" w:name="_Toc24504"/>
      <w:bookmarkStart w:id="572" w:name="_Toc11707"/>
      <w:bookmarkStart w:id="573" w:name="_Toc4773"/>
      <w:bookmarkStart w:id="574" w:name="_Toc26512"/>
      <w:bookmarkStart w:id="575" w:name="_Toc24419"/>
      <w:bookmarkStart w:id="576" w:name="_Toc21175"/>
      <w:bookmarkStart w:id="577" w:name="_Toc13545"/>
      <w:r>
        <w:rPr>
          <w:rFonts w:hint="eastAsia"/>
        </w:rPr>
        <w:t>：所在单位是否定期进行网络安全检查</w:t>
      </w:r>
      <w:bookmarkEnd w:id="568"/>
      <w:bookmarkEnd w:id="569"/>
      <w:bookmarkEnd w:id="570"/>
      <w:bookmarkEnd w:id="571"/>
      <w:bookmarkEnd w:id="572"/>
      <w:bookmarkEnd w:id="573"/>
      <w:bookmarkEnd w:id="574"/>
      <w:bookmarkEnd w:id="575"/>
      <w:bookmarkEnd w:id="576"/>
      <w:bookmarkEnd w:id="577"/>
    </w:p>
    <w:p>
      <w:pPr>
        <w:ind w:firstLine="0" w:firstLineChars="0"/>
      </w:pPr>
      <w:r>
        <w:rPr>
          <w:rFonts w:hint="eastAsia"/>
        </w:rPr>
        <w:t>（图表数据来源：从业人员版等级保护实施与企业合规专题第14题：您所在单位是否定期对重要的信息系统/业务系统进行安全检查？）</w:t>
      </w:r>
      <w:bookmarkStart w:id="578" w:name="_Toc19207418"/>
    </w:p>
    <w:p>
      <w:pPr>
        <w:pStyle w:val="3"/>
      </w:pPr>
      <w:bookmarkStart w:id="579" w:name="_Toc1316"/>
      <w:r>
        <w:rPr>
          <w:rFonts w:hint="eastAsia"/>
        </w:rPr>
        <w:t>5.2、</w:t>
      </w:r>
      <w:bookmarkEnd w:id="578"/>
      <w:r>
        <w:rPr>
          <w:rFonts w:hint="eastAsia"/>
        </w:rPr>
        <w:t>行业发展与生态建设专题</w:t>
      </w:r>
      <w:bookmarkEnd w:id="579"/>
    </w:p>
    <w:p>
      <w:r>
        <w:rPr>
          <w:rFonts w:hint="eastAsia"/>
        </w:rPr>
        <w:t>本专题重庆省采集数量太少不做统计，附全国的统计数据作参考。全国参与本专题答题的从业人员人数为12913。</w:t>
      </w:r>
    </w:p>
    <w:p>
      <w:r>
        <w:rPr>
          <w:rFonts w:hint="eastAsia"/>
        </w:rPr>
        <w:t>（1）行业发展的政策环境</w:t>
      </w:r>
    </w:p>
    <w:p>
      <w:r>
        <w:rPr>
          <w:rFonts w:hint="eastAsia"/>
        </w:rPr>
        <w:t>从业人员对当前促进网络安全产品与服务发展的政策环境评价为：21.93%从业人员认为非常好，39.54%认为好，33.84%认为一般，持肯定态度的占大部分（61.47%）。但也有三分之一的从业人员评价不高。</w:t>
      </w:r>
    </w:p>
    <w:p>
      <w:pPr>
        <w:ind w:firstLine="0" w:firstLineChars="0"/>
      </w:pPr>
      <w:r>
        <w:drawing>
          <wp:inline distT="0" distB="0" distL="0" distR="0">
            <wp:extent cx="5349240" cy="2743200"/>
            <wp:effectExtent l="4445" t="4445" r="18415" b="14605"/>
            <wp:docPr id="266" name="图表 266"/>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pPr>
        <w:pStyle w:val="5"/>
        <w:jc w:val="center"/>
      </w:pPr>
      <w:bookmarkStart w:id="580" w:name="_Toc19203722"/>
      <w:bookmarkStart w:id="581" w:name="_Toc19305628"/>
      <w:bookmarkStart w:id="582" w:name="_Toc48815672"/>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48</w:t>
      </w:r>
      <w:r>
        <w:rPr>
          <w:rFonts w:hint="eastAsia"/>
        </w:rPr>
        <w:fldChar w:fldCharType="end"/>
      </w:r>
      <w:bookmarkStart w:id="583" w:name="_Toc15857"/>
      <w:bookmarkStart w:id="584" w:name="_Toc23139"/>
      <w:bookmarkStart w:id="585" w:name="_Toc5682"/>
      <w:bookmarkStart w:id="586" w:name="_Toc29009"/>
      <w:bookmarkStart w:id="587" w:name="_Toc23092"/>
      <w:bookmarkStart w:id="588" w:name="_Toc1418"/>
      <w:bookmarkStart w:id="589" w:name="_Toc31387"/>
      <w:bookmarkStart w:id="590" w:name="_Toc27728"/>
      <w:bookmarkStart w:id="591" w:name="_Toc20708"/>
      <w:r>
        <w:rPr>
          <w:rFonts w:hint="eastAsia"/>
        </w:rPr>
        <w:t>：</w:t>
      </w:r>
      <w:bookmarkEnd w:id="580"/>
      <w:bookmarkEnd w:id="581"/>
      <w:r>
        <w:rPr>
          <w:rFonts w:hint="eastAsia"/>
        </w:rPr>
        <w:t>对当前促进网络安全产品与服务发展的政策环境的评价</w:t>
      </w:r>
      <w:bookmarkEnd w:id="582"/>
      <w:bookmarkEnd w:id="583"/>
      <w:bookmarkEnd w:id="584"/>
      <w:bookmarkEnd w:id="585"/>
      <w:bookmarkEnd w:id="586"/>
      <w:bookmarkEnd w:id="587"/>
      <w:bookmarkEnd w:id="588"/>
      <w:bookmarkEnd w:id="589"/>
      <w:bookmarkEnd w:id="590"/>
      <w:bookmarkEnd w:id="591"/>
    </w:p>
    <w:p>
      <w:pPr>
        <w:ind w:firstLine="0" w:firstLineChars="0"/>
      </w:pPr>
      <w:r>
        <w:rPr>
          <w:rFonts w:hint="eastAsia"/>
        </w:rPr>
        <w:t>（图表数据来源：从业人员版行业发展与生态建设专题第1题：您认为当前促进网络安全产品与服务发展的政策环境如何？）</w:t>
      </w:r>
    </w:p>
    <w:p>
      <w:pPr>
        <w:ind w:firstLine="0" w:firstLineChars="0"/>
      </w:pPr>
    </w:p>
    <w:p>
      <w:r>
        <w:rPr>
          <w:rFonts w:hint="eastAsia"/>
        </w:rPr>
        <w:t>（2）当前网络安全行业市场的需求变化</w:t>
      </w:r>
    </w:p>
    <w:p>
      <w:r>
        <w:rPr>
          <w:rFonts w:hint="eastAsia"/>
        </w:rPr>
        <w:t>从业人员当前网络安全行业市场的需求变化评价为：50.06%从业人员认为明显上涨，38.59%从业人员认为略有上涨，8.79%认为没有变化，持上涨看法的占绝大部分（88.65%）。显示从业人员对网络安全市场看法比较乐观</w:t>
      </w:r>
    </w:p>
    <w:p>
      <w:pPr>
        <w:ind w:firstLine="0" w:firstLineChars="0"/>
        <w:jc w:val="center"/>
      </w:pPr>
      <w:r>
        <w:drawing>
          <wp:inline distT="0" distB="0" distL="0" distR="0">
            <wp:extent cx="5349240" cy="2743200"/>
            <wp:effectExtent l="4445" t="4445" r="18415" b="14605"/>
            <wp:docPr id="267" name="图表 267"/>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pPr>
        <w:pStyle w:val="5"/>
        <w:jc w:val="center"/>
      </w:pPr>
      <w:bookmarkStart w:id="592" w:name="_Toc19305630"/>
      <w:bookmarkStart w:id="593" w:name="_Toc19203724"/>
      <w:bookmarkStart w:id="594" w:name="_Toc48815673"/>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49</w:t>
      </w:r>
      <w:r>
        <w:rPr>
          <w:rFonts w:hint="eastAsia"/>
        </w:rPr>
        <w:fldChar w:fldCharType="end"/>
      </w:r>
      <w:bookmarkStart w:id="595" w:name="_Toc14218"/>
      <w:bookmarkStart w:id="596" w:name="_Toc9341"/>
      <w:bookmarkStart w:id="597" w:name="_Toc3331"/>
      <w:bookmarkStart w:id="598" w:name="_Toc5653"/>
      <w:bookmarkStart w:id="599" w:name="_Toc5060"/>
      <w:bookmarkStart w:id="600" w:name="_Toc32746"/>
      <w:bookmarkStart w:id="601" w:name="_Toc21194"/>
      <w:bookmarkStart w:id="602" w:name="_Toc20667"/>
      <w:bookmarkStart w:id="603" w:name="_Toc10561"/>
      <w:r>
        <w:rPr>
          <w:rFonts w:hint="eastAsia"/>
        </w:rPr>
        <w:t>：</w:t>
      </w:r>
      <w:bookmarkEnd w:id="592"/>
      <w:bookmarkEnd w:id="593"/>
      <w:r>
        <w:rPr>
          <w:rFonts w:hint="eastAsia"/>
        </w:rPr>
        <w:t>当前网络安全行业市场的需求变化</w:t>
      </w:r>
      <w:bookmarkEnd w:id="594"/>
      <w:bookmarkEnd w:id="595"/>
      <w:bookmarkEnd w:id="596"/>
      <w:bookmarkEnd w:id="597"/>
      <w:bookmarkEnd w:id="598"/>
      <w:bookmarkEnd w:id="599"/>
      <w:bookmarkEnd w:id="600"/>
      <w:bookmarkEnd w:id="601"/>
      <w:bookmarkEnd w:id="602"/>
      <w:bookmarkEnd w:id="603"/>
    </w:p>
    <w:p>
      <w:pPr>
        <w:ind w:firstLine="0" w:firstLineChars="0"/>
      </w:pPr>
      <w:r>
        <w:rPr>
          <w:rFonts w:hint="eastAsia"/>
        </w:rPr>
        <w:t>（图表数据来源：从业人员版行业发展与生态建设专题第2题：相比以往您认为当前网络安全行业市场的需求变化如何？）</w:t>
      </w:r>
    </w:p>
    <w:p/>
    <w:p>
      <w:r>
        <w:rPr>
          <w:rFonts w:hint="eastAsia"/>
        </w:rPr>
        <w:t>（3）目前网络安全行业提供的网络安全保障水平</w:t>
      </w:r>
    </w:p>
    <w:p>
      <w:pPr>
        <w:ind w:firstLine="360" w:firstLineChars="150"/>
      </w:pPr>
      <w:r>
        <w:rPr>
          <w:rFonts w:hint="eastAsia"/>
        </w:rPr>
        <w:t>从业人员对目前网络安全行业提供的网络安全保障水平评价为：16.30%从业人员认为非常高，41.99%从业人员认为比较高，33.90%认为中等，认为行业的网络安全保障水平比较高和非常高看法的占大部分（58.29%）。显示</w:t>
      </w:r>
      <w:bookmarkStart w:id="604" w:name="_Hlk48722374"/>
      <w:r>
        <w:rPr>
          <w:rFonts w:hint="eastAsia"/>
        </w:rPr>
        <w:t>大部分从业人员对网络安全行业提供网络安全保障水平是比较认可的。</w:t>
      </w:r>
      <w:bookmarkEnd w:id="604"/>
    </w:p>
    <w:p>
      <w:pPr>
        <w:ind w:firstLine="360" w:firstLineChars="150"/>
      </w:pPr>
      <w:r>
        <w:drawing>
          <wp:inline distT="0" distB="0" distL="0" distR="0">
            <wp:extent cx="5151120" cy="2743200"/>
            <wp:effectExtent l="4445" t="4445" r="6985" b="14605"/>
            <wp:docPr id="282" name="图表 282"/>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pPr>
        <w:pStyle w:val="5"/>
        <w:jc w:val="center"/>
      </w:pPr>
      <w:bookmarkStart w:id="605" w:name="_Toc48815674"/>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50</w:t>
      </w:r>
      <w:r>
        <w:rPr>
          <w:rFonts w:hint="eastAsia"/>
        </w:rPr>
        <w:fldChar w:fldCharType="end"/>
      </w:r>
      <w:bookmarkStart w:id="606" w:name="_Toc15184"/>
      <w:bookmarkStart w:id="607" w:name="_Toc13604"/>
      <w:bookmarkStart w:id="608" w:name="_Toc16540"/>
      <w:bookmarkStart w:id="609" w:name="_Toc10153"/>
      <w:bookmarkStart w:id="610" w:name="_Toc5809"/>
      <w:bookmarkStart w:id="611" w:name="_Toc5497"/>
      <w:bookmarkStart w:id="612" w:name="_Toc26917"/>
      <w:bookmarkStart w:id="613" w:name="_Toc14261"/>
      <w:bookmarkStart w:id="614" w:name="_Toc21707"/>
      <w:r>
        <w:rPr>
          <w:rFonts w:hint="eastAsia"/>
        </w:rPr>
        <w:t>：目前网络安全行业提供的网络安全保障水平评价</w:t>
      </w:r>
      <w:bookmarkEnd w:id="605"/>
      <w:bookmarkEnd w:id="606"/>
      <w:bookmarkEnd w:id="607"/>
      <w:bookmarkEnd w:id="608"/>
      <w:bookmarkEnd w:id="609"/>
      <w:bookmarkEnd w:id="610"/>
      <w:bookmarkEnd w:id="611"/>
      <w:bookmarkEnd w:id="612"/>
      <w:bookmarkEnd w:id="613"/>
      <w:bookmarkEnd w:id="614"/>
    </w:p>
    <w:p>
      <w:pPr>
        <w:ind w:firstLine="0" w:firstLineChars="0"/>
      </w:pPr>
      <w:r>
        <w:rPr>
          <w:rFonts w:hint="eastAsia"/>
        </w:rPr>
        <w:t>（图表数据来源：从业人员版行业发展与生态建设专题第3题：据您了解目前网络安全行业提供的网络安全保障水平如何？）</w:t>
      </w:r>
    </w:p>
    <w:p/>
    <w:p>
      <w:r>
        <w:rPr>
          <w:rFonts w:hint="eastAsia"/>
        </w:rPr>
        <w:t>（4）信息技术产业供应链安全威胁</w:t>
      </w:r>
    </w:p>
    <w:p>
      <w:pPr>
        <w:ind w:firstLine="360" w:firstLineChars="150"/>
      </w:pPr>
      <w:r>
        <w:rPr>
          <w:rFonts w:hint="eastAsia"/>
        </w:rPr>
        <w:t>从业人员对信息技术产业供应链安全威胁评价为：17.51%从业人员认为威胁非常高，40.35%从业人员认为比较高，34.40%认为中等，持威胁比较高和非常高看法的占大部分（57.86%）。显示信息技术产业供应链安全的威胁是比较高的。</w:t>
      </w:r>
    </w:p>
    <w:p>
      <w:pPr>
        <w:ind w:firstLine="0" w:firstLineChars="0"/>
        <w:jc w:val="center"/>
      </w:pPr>
      <w:r>
        <w:drawing>
          <wp:inline distT="0" distB="0" distL="0" distR="0">
            <wp:extent cx="5326380" cy="2743200"/>
            <wp:effectExtent l="4445" t="4445" r="22225" b="14605"/>
            <wp:docPr id="268" name="图表 268"/>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pPr>
        <w:pStyle w:val="5"/>
        <w:jc w:val="center"/>
      </w:pPr>
      <w:bookmarkStart w:id="615" w:name="_Toc19305631"/>
      <w:bookmarkStart w:id="616" w:name="_Toc19203725"/>
      <w:bookmarkStart w:id="617" w:name="_Toc48815675"/>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51</w:t>
      </w:r>
      <w:r>
        <w:rPr>
          <w:rFonts w:hint="eastAsia"/>
        </w:rPr>
        <w:fldChar w:fldCharType="end"/>
      </w:r>
      <w:bookmarkStart w:id="618" w:name="_Toc21663"/>
      <w:bookmarkStart w:id="619" w:name="_Toc27494"/>
      <w:bookmarkStart w:id="620" w:name="_Toc14533"/>
      <w:bookmarkStart w:id="621" w:name="_Toc392"/>
      <w:bookmarkStart w:id="622" w:name="_Toc93"/>
      <w:bookmarkStart w:id="623" w:name="_Toc14124"/>
      <w:bookmarkStart w:id="624" w:name="_Toc24499"/>
      <w:bookmarkStart w:id="625" w:name="_Toc24291"/>
      <w:bookmarkStart w:id="626" w:name="_Toc15169"/>
      <w:r>
        <w:rPr>
          <w:rFonts w:hint="eastAsia"/>
        </w:rPr>
        <w:t>：</w:t>
      </w:r>
      <w:bookmarkEnd w:id="615"/>
      <w:bookmarkEnd w:id="616"/>
      <w:r>
        <w:rPr>
          <w:rFonts w:hint="eastAsia"/>
        </w:rPr>
        <w:t>当前信息技术产业供应链安全问题的威胁</w:t>
      </w:r>
      <w:bookmarkEnd w:id="617"/>
      <w:bookmarkEnd w:id="618"/>
      <w:bookmarkEnd w:id="619"/>
      <w:bookmarkEnd w:id="620"/>
      <w:bookmarkEnd w:id="621"/>
      <w:bookmarkEnd w:id="622"/>
      <w:bookmarkEnd w:id="623"/>
      <w:bookmarkEnd w:id="624"/>
      <w:bookmarkEnd w:id="625"/>
      <w:bookmarkEnd w:id="626"/>
    </w:p>
    <w:p>
      <w:pPr>
        <w:ind w:firstLine="0" w:firstLineChars="0"/>
      </w:pPr>
      <w:r>
        <w:rPr>
          <w:rFonts w:hint="eastAsia"/>
        </w:rPr>
        <w:t>（图表数据来源：从业人员版行业发展与生态建设专题第4题：您认为当前信息技术产业供应链安全问题的威胁如何？）</w:t>
      </w:r>
    </w:p>
    <w:p/>
    <w:p>
      <w:r>
        <w:rPr>
          <w:rFonts w:hint="eastAsia"/>
        </w:rPr>
        <w:t>（5）当前网络安全产品与服务的资费水平</w:t>
      </w:r>
    </w:p>
    <w:p>
      <w:pPr>
        <w:ind w:firstLine="360" w:firstLineChars="150"/>
      </w:pPr>
      <w:r>
        <w:rPr>
          <w:rFonts w:hint="eastAsia"/>
        </w:rPr>
        <w:t>从业人员对当前网络安全产品与服务的资费水平评价为：16.48%从业人员认为非常高，39.89%从业人员认为比较高，35.90%认为适中，持比较高和非常高看法的占大部分（56.37%）。显示网络安全行业产品和服务收费是比较高的。</w:t>
      </w:r>
    </w:p>
    <w:p>
      <w:pPr>
        <w:ind w:firstLine="0" w:firstLineChars="0"/>
        <w:jc w:val="center"/>
      </w:pPr>
      <w:r>
        <w:drawing>
          <wp:inline distT="0" distB="0" distL="0" distR="0">
            <wp:extent cx="5288280" cy="2743200"/>
            <wp:effectExtent l="4445" t="4445" r="22225" b="14605"/>
            <wp:docPr id="270" name="图表 270"/>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pPr>
        <w:pStyle w:val="5"/>
        <w:jc w:val="center"/>
        <w:rPr>
          <w:sz w:val="22"/>
        </w:rPr>
      </w:pPr>
      <w:bookmarkStart w:id="627" w:name="_Toc48815676"/>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52</w:t>
      </w:r>
      <w:r>
        <w:rPr>
          <w:rFonts w:hint="eastAsia"/>
        </w:rPr>
        <w:fldChar w:fldCharType="end"/>
      </w:r>
      <w:bookmarkStart w:id="628" w:name="_Toc24647"/>
      <w:bookmarkStart w:id="629" w:name="_Toc5310"/>
      <w:bookmarkStart w:id="630" w:name="_Toc21632"/>
      <w:bookmarkStart w:id="631" w:name="_Toc22366"/>
      <w:bookmarkStart w:id="632" w:name="_Toc30716"/>
      <w:bookmarkStart w:id="633" w:name="_Toc29685"/>
      <w:bookmarkStart w:id="634" w:name="_Toc4054"/>
      <w:bookmarkStart w:id="635" w:name="_Toc22384"/>
      <w:bookmarkStart w:id="636" w:name="_Toc15130"/>
      <w:r>
        <w:rPr>
          <w:rFonts w:hint="eastAsia"/>
        </w:rPr>
        <w:t>：当前网络安全产品与服务的资费水平</w:t>
      </w:r>
      <w:bookmarkEnd w:id="627"/>
      <w:bookmarkEnd w:id="628"/>
      <w:bookmarkEnd w:id="629"/>
      <w:bookmarkEnd w:id="630"/>
      <w:bookmarkEnd w:id="631"/>
      <w:bookmarkEnd w:id="632"/>
      <w:bookmarkEnd w:id="633"/>
      <w:bookmarkEnd w:id="634"/>
      <w:bookmarkEnd w:id="635"/>
      <w:bookmarkEnd w:id="636"/>
    </w:p>
    <w:p>
      <w:pPr>
        <w:ind w:firstLine="0" w:firstLineChars="0"/>
      </w:pPr>
      <w:r>
        <w:rPr>
          <w:rFonts w:hint="eastAsia"/>
        </w:rPr>
        <w:t>（图表数据来源：从业人员版行业发展与生态建设专题第5题：您认为当前网络安全产品与服务的资费水平如何？）</w:t>
      </w:r>
    </w:p>
    <w:p/>
    <w:p>
      <w:r>
        <w:rPr>
          <w:rFonts w:hint="eastAsia"/>
        </w:rPr>
        <w:t>（6）当前网络安全产品与服务存在问题</w:t>
      </w:r>
    </w:p>
    <w:p>
      <w:r>
        <w:rPr>
          <w:rFonts w:hint="eastAsia"/>
        </w:rPr>
        <w:t>从业人员对当前网络安全产品与服务存在问题看法为：排前5位的为：1创新能力不足（60.32%）、2核心技术依赖进口（53.03%）、3可靠性差（42.84%）、4服务不到位（38.44%）、5性能低（38.24%）。</w:t>
      </w:r>
    </w:p>
    <w:p>
      <w:pPr>
        <w:ind w:firstLine="0" w:firstLineChars="0"/>
      </w:pPr>
      <w:r>
        <w:drawing>
          <wp:inline distT="0" distB="0" distL="0" distR="0">
            <wp:extent cx="5181600" cy="2743200"/>
            <wp:effectExtent l="4445" t="4445" r="14605" b="14605"/>
            <wp:docPr id="271" name="图表 2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pPr>
        <w:pStyle w:val="5"/>
        <w:jc w:val="center"/>
      </w:pPr>
      <w:bookmarkStart w:id="637" w:name="_Toc19203727"/>
      <w:bookmarkStart w:id="638" w:name="_Toc19305633"/>
      <w:bookmarkStart w:id="639" w:name="_Toc48815677"/>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53</w:t>
      </w:r>
      <w:r>
        <w:rPr>
          <w:rFonts w:hint="eastAsia"/>
        </w:rPr>
        <w:fldChar w:fldCharType="end"/>
      </w:r>
      <w:bookmarkStart w:id="640" w:name="_Toc25355"/>
      <w:bookmarkStart w:id="641" w:name="_Toc15509"/>
      <w:bookmarkStart w:id="642" w:name="_Toc24366"/>
      <w:bookmarkStart w:id="643" w:name="_Toc6729"/>
      <w:bookmarkStart w:id="644" w:name="_Toc13158"/>
      <w:bookmarkStart w:id="645" w:name="_Toc2515"/>
      <w:bookmarkStart w:id="646" w:name="_Toc2267"/>
      <w:bookmarkStart w:id="647" w:name="_Toc18030"/>
      <w:bookmarkStart w:id="648" w:name="_Toc1371"/>
      <w:r>
        <w:rPr>
          <w:rFonts w:hint="eastAsia"/>
        </w:rPr>
        <w:t>：</w:t>
      </w:r>
      <w:bookmarkEnd w:id="637"/>
      <w:bookmarkEnd w:id="638"/>
      <w:r>
        <w:rPr>
          <w:rFonts w:hint="eastAsia"/>
        </w:rPr>
        <w:t>当前网络安全产品与服务存在的不足之处</w:t>
      </w:r>
      <w:bookmarkEnd w:id="639"/>
      <w:bookmarkEnd w:id="640"/>
      <w:bookmarkEnd w:id="641"/>
      <w:bookmarkEnd w:id="642"/>
      <w:bookmarkEnd w:id="643"/>
      <w:bookmarkEnd w:id="644"/>
      <w:bookmarkEnd w:id="645"/>
      <w:bookmarkEnd w:id="646"/>
      <w:bookmarkEnd w:id="647"/>
      <w:bookmarkEnd w:id="648"/>
    </w:p>
    <w:p>
      <w:pPr>
        <w:ind w:firstLine="0" w:firstLineChars="0"/>
      </w:pPr>
      <w:r>
        <w:rPr>
          <w:rFonts w:hint="eastAsia"/>
        </w:rPr>
        <w:t>（图表数据来源：从业人员版行业发展与生态建设专题第6题：您认为当前网络安全产品与服务存在的不足之处是？）</w:t>
      </w:r>
    </w:p>
    <w:p>
      <w:pPr>
        <w:ind w:firstLine="0" w:firstLineChars="0"/>
      </w:pPr>
    </w:p>
    <w:p>
      <w:r>
        <w:rPr>
          <w:rFonts w:hint="eastAsia"/>
        </w:rPr>
        <w:t>（7）对当前网络安全产品与服务实行等级管理看法</w:t>
      </w:r>
    </w:p>
    <w:p>
      <w:r>
        <w:rPr>
          <w:rFonts w:hint="eastAsia"/>
        </w:rPr>
        <w:t>从业人员对当前网络安全产品与服务实行等级管理看法为：绝大部分90.61%从业人员认为应该实行等级管理，小部分9.38%认为不应实行等级管理。</w:t>
      </w:r>
    </w:p>
    <w:p>
      <w:pPr>
        <w:ind w:firstLine="0" w:firstLineChars="0"/>
        <w:jc w:val="center"/>
      </w:pPr>
      <w:r>
        <w:drawing>
          <wp:inline distT="0" distB="0" distL="0" distR="0">
            <wp:extent cx="5107940" cy="2664460"/>
            <wp:effectExtent l="5080" t="4445" r="11430" b="17145"/>
            <wp:docPr id="272" name="图表 272"/>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pPr>
        <w:pStyle w:val="5"/>
        <w:jc w:val="center"/>
      </w:pPr>
      <w:bookmarkStart w:id="649" w:name="_Toc19203728"/>
      <w:bookmarkStart w:id="650" w:name="_Toc19305634"/>
      <w:bookmarkStart w:id="651" w:name="_Toc48815678"/>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54</w:t>
      </w:r>
      <w:r>
        <w:rPr>
          <w:rFonts w:hint="eastAsia"/>
        </w:rPr>
        <w:fldChar w:fldCharType="end"/>
      </w:r>
      <w:bookmarkStart w:id="652" w:name="_Toc7380"/>
      <w:bookmarkStart w:id="653" w:name="_Toc6728"/>
      <w:bookmarkStart w:id="654" w:name="_Toc3733"/>
      <w:bookmarkStart w:id="655" w:name="_Toc26952"/>
      <w:bookmarkStart w:id="656" w:name="_Toc19030"/>
      <w:bookmarkStart w:id="657" w:name="_Toc23476"/>
      <w:bookmarkStart w:id="658" w:name="_Toc10584"/>
      <w:bookmarkStart w:id="659" w:name="_Toc20981"/>
      <w:bookmarkStart w:id="660" w:name="_Toc31272"/>
      <w:r>
        <w:rPr>
          <w:rFonts w:hint="eastAsia"/>
        </w:rPr>
        <w:t>：</w:t>
      </w:r>
      <w:bookmarkEnd w:id="649"/>
      <w:bookmarkEnd w:id="650"/>
      <w:r>
        <w:rPr>
          <w:rFonts w:hint="eastAsia"/>
        </w:rPr>
        <w:t>当前网络安全产品与服务是否应该实行等级评价管理</w:t>
      </w:r>
      <w:bookmarkEnd w:id="651"/>
      <w:bookmarkEnd w:id="652"/>
      <w:bookmarkEnd w:id="653"/>
      <w:bookmarkEnd w:id="654"/>
      <w:bookmarkEnd w:id="655"/>
      <w:bookmarkEnd w:id="656"/>
      <w:bookmarkEnd w:id="657"/>
      <w:bookmarkEnd w:id="658"/>
      <w:bookmarkEnd w:id="659"/>
      <w:bookmarkEnd w:id="660"/>
    </w:p>
    <w:p>
      <w:pPr>
        <w:ind w:firstLine="0" w:firstLineChars="0"/>
      </w:pPr>
      <w:r>
        <w:rPr>
          <w:rFonts w:hint="eastAsia"/>
        </w:rPr>
        <w:t>（图表数据来源：从业人员版行业发展与生态建设专题第7题：您认为当前网络安全产品与服务是否应该实行等级评价管理？）</w:t>
      </w:r>
    </w:p>
    <w:p>
      <w:pPr>
        <w:ind w:firstLine="0" w:firstLineChars="0"/>
      </w:pPr>
    </w:p>
    <w:p>
      <w:r>
        <w:rPr>
          <w:rFonts w:hint="eastAsia"/>
        </w:rPr>
        <w:t>（8）当前网络安全技术人才数量评价</w:t>
      </w:r>
    </w:p>
    <w:p>
      <w:r>
        <w:rPr>
          <w:rFonts w:hint="eastAsia"/>
        </w:rPr>
        <w:t>从业人员对当前网络安全技术人才数量评价呈持平的状态，认为一般最多，占37.95%，认为比较充足的22.64%和认为有效缺乏的22.31%差不多，认为非常充足的9.04%和认为严重不足的8.03%差不多。技术人才问题不仅是数量问题，还有质量和结构的问题。</w:t>
      </w:r>
    </w:p>
    <w:p>
      <w:pPr>
        <w:ind w:firstLine="0" w:firstLineChars="0"/>
        <w:jc w:val="center"/>
      </w:pPr>
      <w:r>
        <w:drawing>
          <wp:inline distT="0" distB="0" distL="0" distR="0">
            <wp:extent cx="5139690" cy="2712085"/>
            <wp:effectExtent l="4445" t="4445" r="18415" b="7620"/>
            <wp:docPr id="273" name="图表 273"/>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pPr>
        <w:pStyle w:val="5"/>
        <w:jc w:val="center"/>
        <w:rPr>
          <w:sz w:val="22"/>
        </w:rPr>
      </w:pPr>
      <w:bookmarkStart w:id="661" w:name="_Toc19305635"/>
      <w:bookmarkStart w:id="662" w:name="_Toc19203729"/>
      <w:bookmarkStart w:id="663" w:name="_Toc48815679"/>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55</w:t>
      </w:r>
      <w:r>
        <w:rPr>
          <w:rFonts w:hint="eastAsia"/>
        </w:rPr>
        <w:fldChar w:fldCharType="end"/>
      </w:r>
      <w:bookmarkStart w:id="664" w:name="_Toc31693"/>
      <w:bookmarkStart w:id="665" w:name="_Toc9055"/>
      <w:bookmarkStart w:id="666" w:name="_Toc3194"/>
      <w:bookmarkStart w:id="667" w:name="_Toc16117"/>
      <w:bookmarkStart w:id="668" w:name="_Toc7560"/>
      <w:bookmarkStart w:id="669" w:name="_Toc7530"/>
      <w:bookmarkStart w:id="670" w:name="_Toc2829"/>
      <w:bookmarkStart w:id="671" w:name="_Toc6820"/>
      <w:bookmarkStart w:id="672" w:name="_Toc12743"/>
      <w:r>
        <w:rPr>
          <w:rFonts w:hint="eastAsia"/>
        </w:rPr>
        <w:t>：</w:t>
      </w:r>
      <w:bookmarkEnd w:id="661"/>
      <w:bookmarkEnd w:id="662"/>
      <w:r>
        <w:rPr>
          <w:rFonts w:hint="eastAsia"/>
        </w:rPr>
        <w:t>当前网络安全技术人才数量评价</w:t>
      </w:r>
      <w:bookmarkEnd w:id="663"/>
      <w:bookmarkEnd w:id="664"/>
      <w:bookmarkEnd w:id="665"/>
      <w:bookmarkEnd w:id="666"/>
      <w:bookmarkEnd w:id="667"/>
      <w:bookmarkEnd w:id="668"/>
      <w:bookmarkEnd w:id="669"/>
      <w:bookmarkEnd w:id="670"/>
      <w:bookmarkEnd w:id="671"/>
      <w:bookmarkEnd w:id="672"/>
    </w:p>
    <w:p>
      <w:pPr>
        <w:ind w:firstLine="0" w:firstLineChars="0"/>
      </w:pPr>
      <w:r>
        <w:rPr>
          <w:rFonts w:hint="eastAsia"/>
        </w:rPr>
        <w:t>（图表数据来源：从业人员版行业发展与生态建设专题第8题：您认为当前网络安全技术人才数量如何？）</w:t>
      </w:r>
    </w:p>
    <w:p>
      <w:pPr>
        <w:ind w:firstLine="0" w:firstLineChars="0"/>
      </w:pPr>
    </w:p>
    <w:p>
      <w:r>
        <w:rPr>
          <w:rFonts w:hint="eastAsia"/>
        </w:rPr>
        <w:t>（9）当前网络安全测评机构数量评价</w:t>
      </w:r>
    </w:p>
    <w:p>
      <w:r>
        <w:rPr>
          <w:rFonts w:hint="eastAsia"/>
        </w:rPr>
        <w:t>从业人员中对当前网络安全测评机构数量评价方面，45%的从业人员网民认为数量一般。21.67%认为数量比较充足，16.98%认为有些缺乏，10.74%认为非常充足，5.59%认为严重不足。</w:t>
      </w:r>
    </w:p>
    <w:p>
      <w:pPr>
        <w:ind w:firstLine="0" w:firstLineChars="0"/>
        <w:jc w:val="center"/>
      </w:pPr>
      <w:r>
        <w:drawing>
          <wp:inline distT="0" distB="0" distL="0" distR="0">
            <wp:extent cx="5119370" cy="2719705"/>
            <wp:effectExtent l="4445" t="4445" r="19685" b="19050"/>
            <wp:docPr id="274" name="图表 274"/>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pPr>
        <w:pStyle w:val="5"/>
        <w:jc w:val="center"/>
      </w:pPr>
      <w:bookmarkStart w:id="673" w:name="_Toc19203730"/>
      <w:bookmarkStart w:id="674" w:name="_Toc19305636"/>
      <w:bookmarkStart w:id="675" w:name="_Toc48815680"/>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56</w:t>
      </w:r>
      <w:r>
        <w:rPr>
          <w:rFonts w:hint="eastAsia"/>
        </w:rPr>
        <w:fldChar w:fldCharType="end"/>
      </w:r>
      <w:bookmarkStart w:id="676" w:name="_Toc10039"/>
      <w:bookmarkStart w:id="677" w:name="_Toc6595"/>
      <w:bookmarkStart w:id="678" w:name="_Toc8897"/>
      <w:bookmarkStart w:id="679" w:name="_Toc12201"/>
      <w:bookmarkStart w:id="680" w:name="_Toc1889"/>
      <w:bookmarkStart w:id="681" w:name="_Toc7565"/>
      <w:bookmarkStart w:id="682" w:name="_Toc30786"/>
      <w:bookmarkStart w:id="683" w:name="_Toc9545"/>
      <w:bookmarkStart w:id="684" w:name="_Toc14418"/>
      <w:r>
        <w:rPr>
          <w:rFonts w:hint="eastAsia"/>
        </w:rPr>
        <w:t>：</w:t>
      </w:r>
      <w:bookmarkEnd w:id="673"/>
      <w:bookmarkEnd w:id="674"/>
      <w:r>
        <w:rPr>
          <w:rFonts w:hint="eastAsia"/>
        </w:rPr>
        <w:t>当前网络安全测评机构数量评价</w:t>
      </w:r>
      <w:bookmarkEnd w:id="675"/>
      <w:bookmarkEnd w:id="676"/>
      <w:bookmarkEnd w:id="677"/>
      <w:bookmarkEnd w:id="678"/>
      <w:bookmarkEnd w:id="679"/>
      <w:bookmarkEnd w:id="680"/>
      <w:bookmarkEnd w:id="681"/>
      <w:bookmarkEnd w:id="682"/>
      <w:bookmarkEnd w:id="683"/>
      <w:bookmarkEnd w:id="684"/>
    </w:p>
    <w:p>
      <w:pPr>
        <w:ind w:firstLine="0" w:firstLineChars="0"/>
      </w:pPr>
      <w:r>
        <w:rPr>
          <w:rFonts w:hint="eastAsia"/>
        </w:rPr>
        <w:t>（图表数据来源：从业人员版行业发展与生态建设专题第9题：您认为当前网络安全测评机构数量如何？）</w:t>
      </w:r>
    </w:p>
    <w:p>
      <w:pPr>
        <w:ind w:firstLine="0" w:firstLineChars="0"/>
      </w:pPr>
    </w:p>
    <w:p>
      <w:r>
        <w:rPr>
          <w:rFonts w:hint="eastAsia"/>
        </w:rPr>
        <w:t>（10）对测评机构提供服务的需求</w:t>
      </w:r>
    </w:p>
    <w:p>
      <w:r>
        <w:rPr>
          <w:rFonts w:hint="eastAsia"/>
        </w:rPr>
        <w:t>从业人员对测评机构提供服务的需求排前5位是：1安全运维60.83%，2安全监理55.88%，3安全咨询52.11%，4攻防演练50.55%，5紧急演练49.59%。</w:t>
      </w:r>
    </w:p>
    <w:p>
      <w:pPr>
        <w:ind w:firstLine="0" w:firstLineChars="0"/>
        <w:jc w:val="center"/>
      </w:pPr>
      <w:r>
        <w:drawing>
          <wp:inline distT="0" distB="0" distL="0" distR="0">
            <wp:extent cx="5364480" cy="2743200"/>
            <wp:effectExtent l="4445" t="4445" r="22225" b="14605"/>
            <wp:docPr id="275" name="图表 275"/>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pPr>
        <w:pStyle w:val="5"/>
        <w:jc w:val="center"/>
      </w:pPr>
      <w:bookmarkStart w:id="685" w:name="_Toc19305637"/>
      <w:bookmarkStart w:id="686" w:name="_Toc19203731"/>
      <w:bookmarkStart w:id="687" w:name="_Toc48815681"/>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57</w:t>
      </w:r>
      <w:r>
        <w:rPr>
          <w:rFonts w:hint="eastAsia"/>
        </w:rPr>
        <w:fldChar w:fldCharType="end"/>
      </w:r>
      <w:bookmarkStart w:id="688" w:name="_Toc21450"/>
      <w:bookmarkStart w:id="689" w:name="_Toc15523"/>
      <w:bookmarkStart w:id="690" w:name="_Toc15037"/>
      <w:bookmarkStart w:id="691" w:name="_Toc10258"/>
      <w:bookmarkStart w:id="692" w:name="_Toc17442"/>
      <w:bookmarkStart w:id="693" w:name="_Toc8281"/>
      <w:bookmarkStart w:id="694" w:name="_Toc1041"/>
      <w:bookmarkStart w:id="695" w:name="_Toc30346"/>
      <w:bookmarkStart w:id="696" w:name="_Toc19192"/>
      <w:r>
        <w:rPr>
          <w:rFonts w:hint="eastAsia"/>
        </w:rPr>
        <w:t>：</w:t>
      </w:r>
      <w:bookmarkEnd w:id="685"/>
      <w:bookmarkEnd w:id="686"/>
      <w:r>
        <w:rPr>
          <w:rFonts w:hint="eastAsia"/>
        </w:rPr>
        <w:t>对测评机构提供服务的需求</w:t>
      </w:r>
      <w:bookmarkEnd w:id="687"/>
      <w:bookmarkEnd w:id="688"/>
      <w:bookmarkEnd w:id="689"/>
      <w:bookmarkEnd w:id="690"/>
      <w:bookmarkEnd w:id="691"/>
      <w:bookmarkEnd w:id="692"/>
      <w:bookmarkEnd w:id="693"/>
      <w:bookmarkEnd w:id="694"/>
      <w:bookmarkEnd w:id="695"/>
      <w:bookmarkEnd w:id="696"/>
    </w:p>
    <w:p>
      <w:pPr>
        <w:ind w:firstLine="0" w:firstLineChars="0"/>
      </w:pPr>
      <w:r>
        <w:rPr>
          <w:rFonts w:hint="eastAsia"/>
        </w:rPr>
        <w:t>（图表数据来源：从业人员版行业发展与生态建设专题第10题：您所在单位还需要测评机构提供哪些服务？）</w:t>
      </w:r>
    </w:p>
    <w:p>
      <w:pPr>
        <w:ind w:firstLine="0" w:firstLineChars="0"/>
      </w:pPr>
    </w:p>
    <w:p>
      <w:r>
        <w:rPr>
          <w:rFonts w:hint="eastAsia"/>
        </w:rPr>
        <w:t>（11）制约网络安全行业发展的主要障碍</w:t>
      </w:r>
    </w:p>
    <w:p>
      <w:r>
        <w:rPr>
          <w:rFonts w:hint="eastAsia"/>
        </w:rPr>
        <w:t>从业人员制约网络安全行业发展的主要障碍排前3位是：1人才73.41%，2技术71.5</w:t>
      </w:r>
      <w:r>
        <w:t>7%</w:t>
      </w:r>
      <w:r>
        <w:rPr>
          <w:rFonts w:hint="eastAsia"/>
        </w:rPr>
        <w:t>，3资金60.65%。</w:t>
      </w:r>
    </w:p>
    <w:p>
      <w:pPr>
        <w:ind w:firstLine="0" w:firstLineChars="0"/>
        <w:jc w:val="center"/>
      </w:pPr>
      <w:r>
        <w:drawing>
          <wp:inline distT="0" distB="0" distL="0" distR="0">
            <wp:extent cx="5234940" cy="2743200"/>
            <wp:effectExtent l="4445" t="4445" r="18415" b="14605"/>
            <wp:docPr id="276" name="图表 276"/>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pPr>
        <w:pStyle w:val="5"/>
        <w:jc w:val="center"/>
      </w:pPr>
      <w:bookmarkStart w:id="697" w:name="_Toc19305638"/>
      <w:bookmarkStart w:id="698" w:name="_Toc19203732"/>
      <w:bookmarkStart w:id="699" w:name="_Toc48815682"/>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58</w:t>
      </w:r>
      <w:r>
        <w:rPr>
          <w:rFonts w:hint="eastAsia"/>
        </w:rPr>
        <w:fldChar w:fldCharType="end"/>
      </w:r>
      <w:bookmarkStart w:id="700" w:name="_Toc4261"/>
      <w:bookmarkStart w:id="701" w:name="_Toc1038"/>
      <w:bookmarkStart w:id="702" w:name="_Toc26632"/>
      <w:bookmarkStart w:id="703" w:name="_Toc28885"/>
      <w:bookmarkStart w:id="704" w:name="_Toc14628"/>
      <w:bookmarkStart w:id="705" w:name="_Toc22029"/>
      <w:bookmarkStart w:id="706" w:name="_Toc30974"/>
      <w:bookmarkStart w:id="707" w:name="_Toc3046"/>
      <w:bookmarkStart w:id="708" w:name="_Toc22869"/>
      <w:r>
        <w:rPr>
          <w:rFonts w:hint="eastAsia"/>
        </w:rPr>
        <w:t>：</w:t>
      </w:r>
      <w:bookmarkEnd w:id="697"/>
      <w:bookmarkEnd w:id="698"/>
      <w:r>
        <w:rPr>
          <w:rFonts w:hint="eastAsia"/>
        </w:rPr>
        <w:t>制约网络安全行业发展的主要障碍</w:t>
      </w:r>
      <w:bookmarkEnd w:id="699"/>
      <w:bookmarkEnd w:id="700"/>
      <w:bookmarkEnd w:id="701"/>
      <w:bookmarkEnd w:id="702"/>
      <w:bookmarkEnd w:id="703"/>
      <w:bookmarkEnd w:id="704"/>
      <w:bookmarkEnd w:id="705"/>
      <w:bookmarkEnd w:id="706"/>
      <w:bookmarkEnd w:id="707"/>
      <w:bookmarkEnd w:id="708"/>
    </w:p>
    <w:p>
      <w:pPr>
        <w:ind w:firstLine="0" w:firstLineChars="0"/>
      </w:pPr>
      <w:r>
        <w:rPr>
          <w:rFonts w:hint="eastAsia"/>
        </w:rPr>
        <w:t>（图表数据来源：从业人员版行业发展与生态建设专题第11题：您认为制约网络安全行业发展的主要障碍是什么？）</w:t>
      </w:r>
    </w:p>
    <w:p>
      <w:pPr>
        <w:widowControl/>
        <w:adjustRightInd/>
        <w:snapToGrid/>
        <w:spacing w:line="240" w:lineRule="auto"/>
        <w:ind w:firstLine="0" w:firstLineChars="0"/>
        <w:jc w:val="left"/>
        <w:rPr>
          <w:rFonts w:ascii="黑体" w:hAnsi="黑体" w:eastAsia="黑体"/>
          <w:b/>
          <w:bCs/>
          <w:kern w:val="44"/>
          <w:sz w:val="28"/>
          <w:szCs w:val="28"/>
        </w:rPr>
      </w:pPr>
    </w:p>
    <w:p>
      <w:bookmarkStart w:id="709" w:name="_Hlk48567617"/>
      <w:r>
        <w:rPr>
          <w:rFonts w:hint="eastAsia"/>
        </w:rPr>
        <w:t>（12）网络安全行业未来一年发展的趋势评价</w:t>
      </w:r>
    </w:p>
    <w:p>
      <w:r>
        <w:rPr>
          <w:rFonts w:hint="eastAsia"/>
        </w:rPr>
        <w:t>从业人员对网络安全行业未来一年发展的趋势评价：36.99%认为明显增长，42.43%认为略有增长，即</w:t>
      </w:r>
      <w:bookmarkStart w:id="710" w:name="_Hlk48722678"/>
      <w:r>
        <w:rPr>
          <w:rFonts w:hint="eastAsia"/>
        </w:rPr>
        <w:t>接近八成（79.42%）从业人员认为未来有增长。</w:t>
      </w:r>
      <w:bookmarkEnd w:id="710"/>
    </w:p>
    <w:p>
      <w:pPr>
        <w:ind w:firstLine="0" w:firstLineChars="0"/>
        <w:jc w:val="center"/>
      </w:pPr>
      <w:r>
        <w:drawing>
          <wp:inline distT="0" distB="0" distL="0" distR="0">
            <wp:extent cx="4895215" cy="2735580"/>
            <wp:effectExtent l="4445" t="4445" r="15240" b="22225"/>
            <wp:docPr id="278" name="图表 278"/>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pPr>
        <w:pStyle w:val="5"/>
        <w:jc w:val="center"/>
      </w:pPr>
      <w:bookmarkStart w:id="711" w:name="_Toc48815683"/>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59</w:t>
      </w:r>
      <w:r>
        <w:rPr>
          <w:rFonts w:hint="eastAsia"/>
        </w:rPr>
        <w:fldChar w:fldCharType="end"/>
      </w:r>
      <w:bookmarkStart w:id="712" w:name="_Toc14491"/>
      <w:bookmarkStart w:id="713" w:name="_Toc26354"/>
      <w:bookmarkStart w:id="714" w:name="_Toc12845"/>
      <w:bookmarkStart w:id="715" w:name="_Toc23948"/>
      <w:bookmarkStart w:id="716" w:name="_Toc19335"/>
      <w:bookmarkStart w:id="717" w:name="_Toc32365"/>
      <w:bookmarkStart w:id="718" w:name="_Toc14522"/>
      <w:bookmarkStart w:id="719" w:name="_Toc22147"/>
      <w:bookmarkStart w:id="720" w:name="_Toc25123"/>
      <w:r>
        <w:rPr>
          <w:rFonts w:hint="eastAsia"/>
        </w:rPr>
        <w:t>：网络安全行业未来一年发展的趋势评价</w:t>
      </w:r>
      <w:bookmarkEnd w:id="711"/>
      <w:bookmarkEnd w:id="712"/>
      <w:bookmarkEnd w:id="713"/>
      <w:bookmarkEnd w:id="714"/>
      <w:bookmarkEnd w:id="715"/>
      <w:bookmarkEnd w:id="716"/>
      <w:bookmarkEnd w:id="717"/>
      <w:bookmarkEnd w:id="718"/>
      <w:bookmarkEnd w:id="719"/>
      <w:bookmarkEnd w:id="720"/>
    </w:p>
    <w:p>
      <w:pPr>
        <w:ind w:firstLine="0" w:firstLineChars="0"/>
      </w:pPr>
      <w:r>
        <w:rPr>
          <w:rFonts w:hint="eastAsia"/>
        </w:rPr>
        <w:t>（图表数据来源：从业人员版行业发展与生态建设专题第12题：您认为网络安全行业未来一年发展的趋势如何？）</w:t>
      </w:r>
    </w:p>
    <w:bookmarkEnd w:id="709"/>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（13）网络安全行业协会等社会组织服务情况</w:t>
      </w:r>
    </w:p>
    <w:p>
      <w:r>
        <w:rPr>
          <w:rFonts w:hint="eastAsia"/>
        </w:rPr>
        <w:t>从业人员对网络安全行业协会等社会组织服务情况评价：53.11%从业人员使用过技术培训服务，38</w:t>
      </w:r>
      <w:r>
        <w:t>.65</w:t>
      </w:r>
      <w:r>
        <w:rPr>
          <w:rFonts w:hint="eastAsia"/>
        </w:rPr>
        <w:t>%使用过继续教育服务，37.22%使用过资质认证服务，32.31%使用过政策宣贯服务，显示技术培训是覆盖率最高的服务，其它服务还有一定的提升空间。</w:t>
      </w:r>
    </w:p>
    <w:p>
      <w:pPr>
        <w:ind w:firstLine="0" w:firstLineChars="0"/>
        <w:jc w:val="center"/>
      </w:pPr>
      <w:r>
        <w:drawing>
          <wp:inline distT="0" distB="0" distL="0" distR="0">
            <wp:extent cx="5242560" cy="2743200"/>
            <wp:effectExtent l="4445" t="4445" r="10795" b="14605"/>
            <wp:docPr id="280" name="图表 280"/>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pPr>
        <w:pStyle w:val="5"/>
        <w:jc w:val="center"/>
      </w:pPr>
      <w:bookmarkStart w:id="721" w:name="_Toc48815684"/>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60</w:t>
      </w:r>
      <w:r>
        <w:rPr>
          <w:rFonts w:hint="eastAsia"/>
        </w:rPr>
        <w:fldChar w:fldCharType="end"/>
      </w:r>
      <w:bookmarkStart w:id="722" w:name="_Toc31173"/>
      <w:bookmarkStart w:id="723" w:name="_Toc19562"/>
      <w:bookmarkStart w:id="724" w:name="_Toc27959"/>
      <w:bookmarkStart w:id="725" w:name="_Toc266"/>
      <w:bookmarkStart w:id="726" w:name="_Toc8521"/>
      <w:bookmarkStart w:id="727" w:name="_Toc6388"/>
      <w:bookmarkStart w:id="728" w:name="_Toc31086"/>
      <w:bookmarkStart w:id="729" w:name="_Toc9530"/>
      <w:bookmarkStart w:id="730" w:name="_Toc27246"/>
      <w:r>
        <w:rPr>
          <w:rFonts w:hint="eastAsia"/>
        </w:rPr>
        <w:t>：网络安全行业协会等社会组织服务情况</w:t>
      </w:r>
      <w:bookmarkEnd w:id="721"/>
      <w:bookmarkEnd w:id="722"/>
      <w:bookmarkEnd w:id="723"/>
      <w:bookmarkEnd w:id="724"/>
      <w:bookmarkEnd w:id="725"/>
      <w:bookmarkEnd w:id="726"/>
      <w:bookmarkEnd w:id="727"/>
      <w:bookmarkEnd w:id="728"/>
      <w:bookmarkEnd w:id="729"/>
      <w:bookmarkEnd w:id="730"/>
    </w:p>
    <w:p>
      <w:pPr>
        <w:ind w:firstLine="0" w:firstLineChars="0"/>
      </w:pPr>
      <w:r>
        <w:rPr>
          <w:rFonts w:hint="eastAsia"/>
        </w:rPr>
        <w:t>（图表数据来源：从业人员版行业发展与生态建设专题第13题：您使用过哪些由网络安全相关行业协会、技术联盟等社会组织提供的服务？）</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r>
        <w:br w:type="page"/>
      </w:r>
    </w:p>
    <w:p>
      <w:pPr>
        <w:pStyle w:val="3"/>
      </w:pPr>
      <w:bookmarkStart w:id="731" w:name="_Toc2566"/>
      <w:r>
        <w:rPr>
          <w:rFonts w:hint="eastAsia"/>
        </w:rPr>
        <w:t>5.3、</w:t>
      </w:r>
      <w:bookmarkStart w:id="732" w:name="_Hlk48569197"/>
      <w:r>
        <w:rPr>
          <w:rFonts w:hint="eastAsia"/>
        </w:rPr>
        <w:t>新技术应用与网络安全</w:t>
      </w:r>
      <w:bookmarkEnd w:id="732"/>
      <w:r>
        <w:rPr>
          <w:rFonts w:hint="eastAsia"/>
        </w:rPr>
        <w:t>专题</w:t>
      </w:r>
      <w:bookmarkEnd w:id="731"/>
    </w:p>
    <w:p>
      <w:r>
        <w:rPr>
          <w:rFonts w:hint="eastAsia"/>
        </w:rPr>
        <w:t>本专题重庆市采集数量太少不做统计，附全国的统计数据作参考。全国参与本专题答题的从业人员人数为18663。</w:t>
      </w:r>
    </w:p>
    <w:p>
      <w:r>
        <w:rPr>
          <w:rFonts w:hint="eastAsia"/>
        </w:rPr>
        <w:t>（1）对新技术新应用的网络安全问题的关注度</w:t>
      </w:r>
    </w:p>
    <w:p>
      <w:r>
        <w:rPr>
          <w:rFonts w:hint="eastAsia"/>
        </w:rPr>
        <w:t>从业人员对新技术新应用的网络安全问题的关注度排列前5位为：5G移动网络（73.64%）、大数据（62.30%）、人工智能（54.50%）、物联网（41.92%）、云计算（41.20%）。数据显示从业人员对新技术的网络安全问题是比较关注的。</w:t>
      </w:r>
    </w:p>
    <w:p>
      <w:pPr>
        <w:ind w:firstLine="0" w:firstLineChars="0"/>
        <w:jc w:val="center"/>
      </w:pPr>
      <w:r>
        <w:drawing>
          <wp:inline distT="0" distB="0" distL="0" distR="0">
            <wp:extent cx="5243195" cy="2766695"/>
            <wp:effectExtent l="4445" t="4445" r="10160" b="10160"/>
            <wp:docPr id="489" name="图表 489"/>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pPr>
        <w:pStyle w:val="5"/>
        <w:jc w:val="center"/>
      </w:pPr>
      <w:bookmarkStart w:id="733" w:name="_Toc48815685"/>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61</w:t>
      </w:r>
      <w:r>
        <w:rPr>
          <w:rFonts w:hint="eastAsia"/>
        </w:rPr>
        <w:fldChar w:fldCharType="end"/>
      </w:r>
      <w:bookmarkStart w:id="734" w:name="_Toc9825"/>
      <w:bookmarkStart w:id="735" w:name="_Toc11389"/>
      <w:bookmarkStart w:id="736" w:name="_Toc13428"/>
      <w:bookmarkStart w:id="737" w:name="_Toc7563"/>
      <w:bookmarkStart w:id="738" w:name="_Toc25518"/>
      <w:bookmarkStart w:id="739" w:name="_Toc353"/>
      <w:bookmarkStart w:id="740" w:name="_Toc15055"/>
      <w:bookmarkStart w:id="741" w:name="_Toc6296"/>
      <w:bookmarkStart w:id="742" w:name="_Toc21558"/>
      <w:r>
        <w:rPr>
          <w:rFonts w:hint="eastAsia"/>
        </w:rPr>
        <w:t>：对新技术新应用的网络安全问题的关注度</w:t>
      </w:r>
      <w:bookmarkEnd w:id="733"/>
      <w:bookmarkEnd w:id="734"/>
      <w:bookmarkEnd w:id="735"/>
      <w:bookmarkEnd w:id="736"/>
      <w:bookmarkEnd w:id="737"/>
      <w:bookmarkEnd w:id="738"/>
      <w:bookmarkEnd w:id="739"/>
      <w:bookmarkEnd w:id="740"/>
      <w:bookmarkEnd w:id="741"/>
      <w:bookmarkEnd w:id="742"/>
    </w:p>
    <w:p>
      <w:pPr>
        <w:ind w:firstLine="0" w:firstLineChars="0"/>
      </w:pPr>
      <w:r>
        <w:rPr>
          <w:rFonts w:hint="eastAsia"/>
        </w:rPr>
        <w:t>（图表数据来源：从业人员版新技术应用与网络安全专题第1题：您关注过以下哪项新技术新应用的网络安全问题？）</w:t>
      </w:r>
    </w:p>
    <w:p>
      <w:pPr>
        <w:ind w:firstLine="0" w:firstLineChars="0"/>
      </w:pPr>
    </w:p>
    <w:p>
      <w:r>
        <w:rPr>
          <w:rFonts w:hint="eastAsia"/>
        </w:rPr>
        <w:t>（2）从业人员5G网络使用情况</w:t>
      </w:r>
    </w:p>
    <w:p>
      <w:r>
        <w:rPr>
          <w:rFonts w:hint="eastAsia"/>
        </w:rPr>
        <w:t>从业人员5G网络使用情况：17.45%从业人员已经使用5G网络，82.54%从业人员没有使用5G网络，显示5</w:t>
      </w:r>
      <w:r>
        <w:t>G</w:t>
      </w:r>
      <w:r>
        <w:rPr>
          <w:rFonts w:hint="eastAsia"/>
        </w:rPr>
        <w:t>网络应用刚起步，从业人员中使用率不算高。</w:t>
      </w:r>
    </w:p>
    <w:p>
      <w:pPr>
        <w:ind w:firstLine="0" w:firstLineChars="0"/>
        <w:jc w:val="center"/>
      </w:pPr>
      <w:r>
        <w:drawing>
          <wp:inline distT="0" distB="0" distL="0" distR="0">
            <wp:extent cx="5185410" cy="2743200"/>
            <wp:effectExtent l="0" t="0" r="15240" b="0"/>
            <wp:docPr id="490" name="图表 490"/>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pPr>
        <w:pStyle w:val="5"/>
        <w:jc w:val="center"/>
      </w:pPr>
      <w:bookmarkStart w:id="743" w:name="_Toc48815686"/>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62</w:t>
      </w:r>
      <w:r>
        <w:rPr>
          <w:rFonts w:hint="eastAsia"/>
        </w:rPr>
        <w:fldChar w:fldCharType="end"/>
      </w:r>
      <w:bookmarkStart w:id="744" w:name="_Toc31654"/>
      <w:bookmarkStart w:id="745" w:name="_Toc13799"/>
      <w:bookmarkStart w:id="746" w:name="_Toc21549"/>
      <w:bookmarkStart w:id="747" w:name="_Toc26419"/>
      <w:bookmarkStart w:id="748" w:name="_Toc5918"/>
      <w:bookmarkStart w:id="749" w:name="_Toc30475"/>
      <w:bookmarkStart w:id="750" w:name="_Toc12089"/>
      <w:bookmarkStart w:id="751" w:name="_Toc30327"/>
      <w:bookmarkStart w:id="752" w:name="_Toc22003"/>
      <w:r>
        <w:rPr>
          <w:rFonts w:hint="eastAsia"/>
        </w:rPr>
        <w:t>：从业人员5G网络使用率</w:t>
      </w:r>
      <w:bookmarkEnd w:id="743"/>
      <w:bookmarkEnd w:id="744"/>
      <w:bookmarkEnd w:id="745"/>
      <w:bookmarkEnd w:id="746"/>
      <w:bookmarkEnd w:id="747"/>
      <w:bookmarkEnd w:id="748"/>
      <w:bookmarkEnd w:id="749"/>
      <w:bookmarkEnd w:id="750"/>
      <w:bookmarkEnd w:id="751"/>
      <w:bookmarkEnd w:id="752"/>
    </w:p>
    <w:p>
      <w:pPr>
        <w:ind w:firstLine="0" w:firstLineChars="0"/>
      </w:pPr>
      <w:r>
        <w:rPr>
          <w:rFonts w:hint="eastAsia"/>
        </w:rPr>
        <w:t>（图表数据来源：从业人员版新技术应用与网络安全专题第2题：您目前是否正在使用5G网络？）</w:t>
      </w:r>
    </w:p>
    <w:p>
      <w:pPr>
        <w:ind w:firstLine="0" w:firstLineChars="0"/>
      </w:pPr>
    </w:p>
    <w:p>
      <w:r>
        <w:rPr>
          <w:rFonts w:hint="eastAsia"/>
        </w:rPr>
        <w:t>（2．1）对5G网络使用体验的评价</w:t>
      </w:r>
    </w:p>
    <w:p>
      <w:r>
        <w:rPr>
          <w:rFonts w:hint="eastAsia"/>
        </w:rPr>
        <w:t>从业人员对5G网络使用体验评价：44.70%从业人员认为5G上网很快很好用；28.62%从业人员认为5G流量用的太快，费用有点高；24.49%认为5G和4G差不多，感觉一般；还用18.09%认为5G信号不稳定不是很好用。</w:t>
      </w:r>
    </w:p>
    <w:p>
      <w:pPr>
        <w:ind w:firstLine="0" w:firstLineChars="0"/>
        <w:jc w:val="center"/>
      </w:pPr>
      <w:r>
        <w:drawing>
          <wp:inline distT="0" distB="0" distL="0" distR="0">
            <wp:extent cx="5341620" cy="2743200"/>
            <wp:effectExtent l="4445" t="4445" r="6985" b="14605"/>
            <wp:docPr id="494" name="图表 494"/>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pPr>
        <w:pStyle w:val="5"/>
        <w:jc w:val="center"/>
      </w:pPr>
      <w:bookmarkStart w:id="753" w:name="_Toc48815687"/>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63</w:t>
      </w:r>
      <w:r>
        <w:rPr>
          <w:rFonts w:hint="eastAsia"/>
        </w:rPr>
        <w:fldChar w:fldCharType="end"/>
      </w:r>
      <w:bookmarkStart w:id="754" w:name="_Toc10830"/>
      <w:bookmarkStart w:id="755" w:name="_Toc8374"/>
      <w:bookmarkStart w:id="756" w:name="_Toc23367"/>
      <w:bookmarkStart w:id="757" w:name="_Toc29333"/>
      <w:bookmarkStart w:id="758" w:name="_Toc109"/>
      <w:bookmarkStart w:id="759" w:name="_Toc30531"/>
      <w:bookmarkStart w:id="760" w:name="_Toc5383"/>
      <w:bookmarkStart w:id="761" w:name="_Toc18168"/>
      <w:bookmarkStart w:id="762" w:name="_Toc1581"/>
      <w:r>
        <w:rPr>
          <w:rFonts w:hint="eastAsia"/>
        </w:rPr>
        <w:t>：对5G网络使用体验的评价</w:t>
      </w:r>
      <w:bookmarkEnd w:id="753"/>
      <w:bookmarkEnd w:id="754"/>
      <w:bookmarkEnd w:id="755"/>
      <w:bookmarkEnd w:id="756"/>
      <w:bookmarkEnd w:id="757"/>
      <w:bookmarkEnd w:id="758"/>
      <w:bookmarkEnd w:id="759"/>
      <w:bookmarkEnd w:id="760"/>
      <w:bookmarkEnd w:id="761"/>
      <w:bookmarkEnd w:id="762"/>
    </w:p>
    <w:p>
      <w:pPr>
        <w:ind w:firstLine="0" w:firstLineChars="0"/>
      </w:pPr>
      <w:r>
        <w:rPr>
          <w:rFonts w:hint="eastAsia"/>
        </w:rPr>
        <w:t>（图表数据来源：从业人员版新技术应用与网络安全专题第2.1题：使用5G网络的感受是？）</w:t>
      </w:r>
    </w:p>
    <w:p>
      <w:pPr>
        <w:ind w:firstLine="0" w:firstLineChars="0"/>
      </w:pPr>
    </w:p>
    <w:p>
      <w:r>
        <w:rPr>
          <w:rFonts w:hint="eastAsia"/>
        </w:rPr>
        <w:t>（2．2）目前不使用5G网络的原因</w:t>
      </w:r>
    </w:p>
    <w:p>
      <w:r>
        <w:rPr>
          <w:rFonts w:hint="eastAsia"/>
        </w:rPr>
        <w:t>目前不使用5G网络的原因排前3位为：1想用但要换手机（51.55%）、2网络覆盖面小想用但用不上（41.59%）、3套餐费用高用不起（40.43%）；4先等网络稳定了再考虑（38</w:t>
      </w:r>
      <w:r>
        <w:t>.</w:t>
      </w:r>
      <w:r>
        <w:rPr>
          <w:rFonts w:hint="eastAsia"/>
        </w:rPr>
        <w:t>61%）。数据显示手机终端、使用成本、网络质量等问题是从业人员使用5G考虑的主要因素。</w:t>
      </w:r>
    </w:p>
    <w:p>
      <w:pPr>
        <w:ind w:firstLine="0" w:firstLineChars="0"/>
        <w:jc w:val="center"/>
      </w:pPr>
      <w:r>
        <w:drawing>
          <wp:inline distT="0" distB="0" distL="0" distR="0">
            <wp:extent cx="5288280" cy="2743200"/>
            <wp:effectExtent l="4445" t="4445" r="22225" b="14605"/>
            <wp:docPr id="495" name="图表 495"/>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pPr>
        <w:pStyle w:val="5"/>
        <w:jc w:val="center"/>
      </w:pPr>
      <w:bookmarkStart w:id="763" w:name="_Toc48815688"/>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64</w:t>
      </w:r>
      <w:r>
        <w:rPr>
          <w:rFonts w:hint="eastAsia"/>
        </w:rPr>
        <w:fldChar w:fldCharType="end"/>
      </w:r>
      <w:bookmarkStart w:id="764" w:name="_Toc5973"/>
      <w:bookmarkStart w:id="765" w:name="_Toc21051"/>
      <w:bookmarkStart w:id="766" w:name="_Toc15841"/>
      <w:bookmarkStart w:id="767" w:name="_Toc19530"/>
      <w:bookmarkStart w:id="768" w:name="_Toc162"/>
      <w:bookmarkStart w:id="769" w:name="_Toc29620"/>
      <w:bookmarkStart w:id="770" w:name="_Toc31099"/>
      <w:bookmarkStart w:id="771" w:name="_Toc14223"/>
      <w:bookmarkStart w:id="772" w:name="_Toc12855"/>
      <w:r>
        <w:rPr>
          <w:rFonts w:hint="eastAsia"/>
        </w:rPr>
        <w:t>：目前不使用5G网络的原因</w:t>
      </w:r>
      <w:bookmarkEnd w:id="763"/>
      <w:bookmarkEnd w:id="764"/>
      <w:bookmarkEnd w:id="765"/>
      <w:bookmarkEnd w:id="766"/>
      <w:bookmarkEnd w:id="767"/>
      <w:bookmarkEnd w:id="768"/>
      <w:bookmarkEnd w:id="769"/>
      <w:bookmarkEnd w:id="770"/>
      <w:bookmarkEnd w:id="771"/>
      <w:bookmarkEnd w:id="772"/>
    </w:p>
    <w:p>
      <w:pPr>
        <w:ind w:firstLine="0" w:firstLineChars="0"/>
      </w:pPr>
      <w:r>
        <w:rPr>
          <w:rFonts w:hint="eastAsia"/>
        </w:rPr>
        <w:t>（图表数据来源：从业人员版新技术应用与网络安全专题第2.2题：目前不使用5G网络的原因是？）</w:t>
      </w:r>
    </w:p>
    <w:p/>
    <w:p>
      <w:r>
        <w:rPr>
          <w:rFonts w:hint="eastAsia"/>
        </w:rPr>
        <w:t>（3）对5G技术的顾虑</w:t>
      </w:r>
    </w:p>
    <w:p>
      <w:pPr>
        <w:ind w:firstLine="360" w:firstLineChars="150"/>
      </w:pPr>
      <w:r>
        <w:rPr>
          <w:rFonts w:hint="eastAsia"/>
        </w:rPr>
        <w:t>从业人员对5G技术的顾虑主要有：1比4G服务收费更高（68.91%），2网络覆盖面小（59.74%），3技术不成熟出现网络错误或卡顿（33.85%），4网络不安全（25.72%）。</w:t>
      </w:r>
    </w:p>
    <w:p>
      <w:pPr>
        <w:ind w:firstLine="0" w:firstLineChars="0"/>
        <w:jc w:val="center"/>
      </w:pPr>
      <w:r>
        <w:drawing>
          <wp:inline distT="0" distB="0" distL="0" distR="0">
            <wp:extent cx="5181600" cy="2743200"/>
            <wp:effectExtent l="4445" t="4445" r="14605" b="14605"/>
            <wp:docPr id="496" name="图表 496"/>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pPr>
        <w:pStyle w:val="5"/>
        <w:jc w:val="center"/>
      </w:pPr>
      <w:bookmarkStart w:id="773" w:name="_Toc48815689"/>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65</w:t>
      </w:r>
      <w:r>
        <w:rPr>
          <w:rFonts w:hint="eastAsia"/>
        </w:rPr>
        <w:fldChar w:fldCharType="end"/>
      </w:r>
      <w:bookmarkStart w:id="774" w:name="_Toc27186"/>
      <w:bookmarkStart w:id="775" w:name="_Toc16361"/>
      <w:bookmarkStart w:id="776" w:name="_Toc3026"/>
      <w:bookmarkStart w:id="777" w:name="_Toc25006"/>
      <w:bookmarkStart w:id="778" w:name="_Toc4861"/>
      <w:bookmarkStart w:id="779" w:name="_Toc11586"/>
      <w:bookmarkStart w:id="780" w:name="_Toc11504"/>
      <w:bookmarkStart w:id="781" w:name="_Toc12725"/>
      <w:bookmarkStart w:id="782" w:name="_Toc1880"/>
      <w:r>
        <w:rPr>
          <w:rFonts w:hint="eastAsia"/>
        </w:rPr>
        <w:t>：对5G技术的顾虑</w:t>
      </w:r>
      <w:bookmarkEnd w:id="773"/>
      <w:bookmarkEnd w:id="774"/>
      <w:bookmarkEnd w:id="775"/>
      <w:bookmarkEnd w:id="776"/>
      <w:bookmarkEnd w:id="777"/>
      <w:bookmarkEnd w:id="778"/>
      <w:bookmarkEnd w:id="779"/>
      <w:bookmarkEnd w:id="780"/>
      <w:bookmarkEnd w:id="781"/>
      <w:bookmarkEnd w:id="782"/>
    </w:p>
    <w:p>
      <w:pPr>
        <w:ind w:firstLine="0" w:firstLineChars="0"/>
      </w:pPr>
      <w:r>
        <w:rPr>
          <w:rFonts w:hint="eastAsia"/>
        </w:rPr>
        <w:t>（图表数据来源：从业人员版新技术应用与网络安全专题第3题：您对5G技术存在哪些顾虑？）</w:t>
      </w:r>
    </w:p>
    <w:p/>
    <w:p>
      <w:r>
        <w:rPr>
          <w:rFonts w:hint="eastAsia"/>
        </w:rPr>
        <w:t>（4）人工智能(AI)可以发挥优势的领域</w:t>
      </w:r>
    </w:p>
    <w:p>
      <w:pPr>
        <w:ind w:firstLine="360" w:firstLineChars="150"/>
      </w:pPr>
      <w:r>
        <w:rPr>
          <w:rFonts w:hint="eastAsia"/>
        </w:rPr>
        <w:t>从业人员对人工智能(AI)可以发挥优势的领域认为：医疗（76.67%）、交通</w:t>
      </w:r>
      <w:bookmarkStart w:id="783" w:name="_Hlk48571162"/>
      <w:r>
        <w:rPr>
          <w:rFonts w:hint="eastAsia"/>
        </w:rPr>
        <w:t>（74.69%）</w:t>
      </w:r>
      <w:bookmarkEnd w:id="783"/>
      <w:r>
        <w:rPr>
          <w:rFonts w:hint="eastAsia"/>
        </w:rPr>
        <w:t>、教育（56.88%）、工业制造（47.69%）和社会安全治理（43.42%）等领域人工智能可以发挥优势。</w:t>
      </w:r>
    </w:p>
    <w:p>
      <w:pPr>
        <w:ind w:firstLine="0" w:firstLineChars="0"/>
        <w:jc w:val="center"/>
      </w:pPr>
      <w:r>
        <w:drawing>
          <wp:inline distT="0" distB="0" distL="0" distR="0">
            <wp:extent cx="5144770" cy="2766695"/>
            <wp:effectExtent l="4445" t="4445" r="13335" b="10160"/>
            <wp:docPr id="497" name="图表 497"/>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pPr>
        <w:pStyle w:val="5"/>
        <w:jc w:val="center"/>
      </w:pPr>
      <w:bookmarkStart w:id="784" w:name="_Toc48815690"/>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66</w:t>
      </w:r>
      <w:r>
        <w:rPr>
          <w:rFonts w:hint="eastAsia"/>
        </w:rPr>
        <w:fldChar w:fldCharType="end"/>
      </w:r>
      <w:bookmarkStart w:id="785" w:name="_Toc4065"/>
      <w:bookmarkStart w:id="786" w:name="_Toc23123"/>
      <w:bookmarkStart w:id="787" w:name="_Toc27683"/>
      <w:bookmarkStart w:id="788" w:name="_Toc22017"/>
      <w:bookmarkStart w:id="789" w:name="_Toc5911"/>
      <w:bookmarkStart w:id="790" w:name="_Toc25335"/>
      <w:bookmarkStart w:id="791" w:name="_Toc10745"/>
      <w:bookmarkStart w:id="792" w:name="_Toc27785"/>
      <w:bookmarkStart w:id="793" w:name="_Toc12326"/>
      <w:r>
        <w:rPr>
          <w:rFonts w:hint="eastAsia"/>
        </w:rPr>
        <w:t>：人工智能(AI)可以发挥优势的领域</w:t>
      </w:r>
      <w:bookmarkEnd w:id="784"/>
      <w:bookmarkEnd w:id="785"/>
      <w:bookmarkEnd w:id="786"/>
      <w:bookmarkEnd w:id="787"/>
      <w:bookmarkEnd w:id="788"/>
      <w:bookmarkEnd w:id="789"/>
      <w:bookmarkEnd w:id="790"/>
      <w:bookmarkEnd w:id="791"/>
      <w:bookmarkEnd w:id="792"/>
      <w:bookmarkEnd w:id="793"/>
    </w:p>
    <w:p>
      <w:pPr>
        <w:ind w:firstLine="0" w:firstLineChars="0"/>
      </w:pPr>
      <w:r>
        <w:rPr>
          <w:rFonts w:hint="eastAsia"/>
        </w:rPr>
        <w:t>（图表数据来源：从业人员版新技术应用与网络安全专题第4题：您最期待人工智能(AI)在哪些领域发挥优势？）</w:t>
      </w:r>
    </w:p>
    <w:p/>
    <w:p>
      <w:r>
        <w:rPr>
          <w:rFonts w:hint="eastAsia"/>
        </w:rPr>
        <w:t>（5）目前人工智能应用发展面临的阻力</w:t>
      </w:r>
    </w:p>
    <w:p>
      <w:pPr>
        <w:ind w:firstLine="360" w:firstLineChars="150"/>
      </w:pPr>
      <w:r>
        <w:rPr>
          <w:rFonts w:hint="eastAsia"/>
        </w:rPr>
        <w:t>从业人员对目前人工智能应用发展面临的阻力排前3位为：1技术有待成熟（75.4</w:t>
      </w:r>
      <w:r>
        <w:t>9</w:t>
      </w:r>
      <w:r>
        <w:rPr>
          <w:rFonts w:hint="eastAsia"/>
        </w:rPr>
        <w:t>%），2安全隐私问题（67.24%），3应用普及（57.08%），数据显示技术成熟度、安全隐私保护问题等是从业人员关注的重点。</w:t>
      </w:r>
    </w:p>
    <w:p>
      <w:pPr>
        <w:ind w:firstLine="0" w:firstLineChars="0"/>
        <w:jc w:val="center"/>
      </w:pPr>
      <w:r>
        <w:drawing>
          <wp:inline distT="0" distB="0" distL="0" distR="0">
            <wp:extent cx="5223510" cy="2743200"/>
            <wp:effectExtent l="4445" t="4445" r="10795" b="14605"/>
            <wp:docPr id="498" name="图表 498"/>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pPr>
        <w:pStyle w:val="5"/>
        <w:jc w:val="center"/>
      </w:pPr>
      <w:bookmarkStart w:id="794" w:name="_Toc48815691"/>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67</w:t>
      </w:r>
      <w:r>
        <w:rPr>
          <w:rFonts w:hint="eastAsia"/>
        </w:rPr>
        <w:fldChar w:fldCharType="end"/>
      </w:r>
      <w:bookmarkStart w:id="795" w:name="_Toc2746"/>
      <w:bookmarkStart w:id="796" w:name="_Toc10244"/>
      <w:bookmarkStart w:id="797" w:name="_Toc28464"/>
      <w:bookmarkStart w:id="798" w:name="_Toc13205"/>
      <w:bookmarkStart w:id="799" w:name="_Toc10086"/>
      <w:bookmarkStart w:id="800" w:name="_Toc21446"/>
      <w:bookmarkStart w:id="801" w:name="_Toc7169"/>
      <w:bookmarkStart w:id="802" w:name="_Toc5971"/>
      <w:bookmarkStart w:id="803" w:name="_Toc29853"/>
      <w:r>
        <w:rPr>
          <w:rFonts w:hint="eastAsia"/>
        </w:rPr>
        <w:t>：目前人工智能应用的发展面临的最大阻力</w:t>
      </w:r>
      <w:bookmarkEnd w:id="794"/>
      <w:bookmarkEnd w:id="795"/>
      <w:bookmarkEnd w:id="796"/>
      <w:bookmarkEnd w:id="797"/>
      <w:bookmarkEnd w:id="798"/>
      <w:bookmarkEnd w:id="799"/>
      <w:bookmarkEnd w:id="800"/>
      <w:bookmarkEnd w:id="801"/>
      <w:bookmarkEnd w:id="802"/>
      <w:bookmarkEnd w:id="803"/>
    </w:p>
    <w:p>
      <w:pPr>
        <w:ind w:firstLine="0" w:firstLineChars="0"/>
      </w:pPr>
      <w:r>
        <w:rPr>
          <w:rFonts w:hint="eastAsia"/>
        </w:rPr>
        <w:t>（图表数据来源：从业人员版新技术应用与网络安全专题第5题：您认为目前人工智能应用的发展面临的最大阻力是？）</w:t>
      </w:r>
    </w:p>
    <w:p/>
    <w:p>
      <w:r>
        <w:rPr>
          <w:rFonts w:hint="eastAsia"/>
        </w:rPr>
        <w:t>（6）对“AI换脸”应用等“深度伪造”为代表的新技术新应用的看法</w:t>
      </w:r>
    </w:p>
    <w:p>
      <w:r>
        <w:rPr>
          <w:rFonts w:hint="eastAsia"/>
        </w:rPr>
        <w:t>从业人员对“AI换脸”应用等“深度伪造”为代表的新技术新应用的看法排前3位为：1减低了生物识别技术可信度（74.69%）、2催生网络黑灰产业、带来社会风险（72.13</w:t>
      </w:r>
      <w:r>
        <w:t>%</w:t>
      </w:r>
      <w:r>
        <w:rPr>
          <w:rFonts w:hint="eastAsia"/>
        </w:rPr>
        <w:t>）、3深度伪造技术滥用危害国家安全（57.25%）。数据显示从业人员对深度伪造技术是比较担心的。</w:t>
      </w:r>
    </w:p>
    <w:p>
      <w:pPr>
        <w:ind w:firstLine="0" w:firstLineChars="0"/>
      </w:pPr>
      <w:r>
        <w:drawing>
          <wp:inline distT="0" distB="0" distL="0" distR="0">
            <wp:extent cx="5274310" cy="2571115"/>
            <wp:effectExtent l="4445" t="4445" r="17145" b="15240"/>
            <wp:docPr id="499" name="图表 499"/>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pPr>
        <w:pStyle w:val="5"/>
        <w:jc w:val="center"/>
      </w:pPr>
      <w:bookmarkStart w:id="804" w:name="_Toc48815692"/>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68</w:t>
      </w:r>
      <w:r>
        <w:rPr>
          <w:rFonts w:hint="eastAsia"/>
        </w:rPr>
        <w:fldChar w:fldCharType="end"/>
      </w:r>
      <w:bookmarkStart w:id="805" w:name="_Toc21529"/>
      <w:bookmarkStart w:id="806" w:name="_Toc7490"/>
      <w:bookmarkStart w:id="807" w:name="_Toc23814"/>
      <w:bookmarkStart w:id="808" w:name="_Toc23784"/>
      <w:bookmarkStart w:id="809" w:name="_Toc20709"/>
      <w:bookmarkStart w:id="810" w:name="_Toc5222"/>
      <w:bookmarkStart w:id="811" w:name="_Toc23904"/>
      <w:bookmarkStart w:id="812" w:name="_Toc26721"/>
      <w:bookmarkStart w:id="813" w:name="_Toc11727"/>
      <w:r>
        <w:rPr>
          <w:rFonts w:hint="eastAsia"/>
        </w:rPr>
        <w:t>：对“AI换脸”应用等“深度伪造”为代表的新技术新应用的看法</w:t>
      </w:r>
      <w:bookmarkEnd w:id="804"/>
      <w:bookmarkEnd w:id="805"/>
      <w:bookmarkEnd w:id="806"/>
      <w:bookmarkEnd w:id="807"/>
      <w:bookmarkEnd w:id="808"/>
      <w:bookmarkEnd w:id="809"/>
      <w:bookmarkEnd w:id="810"/>
      <w:bookmarkEnd w:id="811"/>
      <w:bookmarkEnd w:id="812"/>
      <w:bookmarkEnd w:id="813"/>
    </w:p>
    <w:p>
      <w:pPr>
        <w:ind w:firstLine="0" w:firstLineChars="0"/>
      </w:pPr>
      <w:r>
        <w:rPr>
          <w:rFonts w:hint="eastAsia"/>
        </w:rPr>
        <w:t>（图表数据来源：从业人员版新技术应用与网络安全专题第6题：近两年出现了“AI换脸”应用，您怎么看这种以“深度伪造”为代表的新技术新应用？）</w:t>
      </w:r>
    </w:p>
    <w:p>
      <w:pPr>
        <w:ind w:firstLine="0" w:firstLineChars="0"/>
      </w:pPr>
    </w:p>
    <w:p>
      <w:r>
        <w:rPr>
          <w:rFonts w:hint="eastAsia"/>
        </w:rPr>
        <w:t>（7）对区块链的认识</w:t>
      </w:r>
    </w:p>
    <w:p>
      <w:r>
        <w:rPr>
          <w:rFonts w:hint="eastAsia"/>
        </w:rPr>
        <w:t>从业人员对区块链的认识看法为： 48.45%从业人员认为一般，偶尔看到区块链的信息；23.13%从业人员对区块链不了解，听说过；也有10.99/%完全不了解。数据显示从业人员对区块链了解程度一般或不高。</w:t>
      </w:r>
    </w:p>
    <w:p>
      <w:pPr>
        <w:ind w:firstLine="0" w:firstLineChars="0"/>
        <w:jc w:val="center"/>
      </w:pPr>
      <w:r>
        <w:drawing>
          <wp:inline distT="0" distB="0" distL="0" distR="0">
            <wp:extent cx="5265420" cy="3436620"/>
            <wp:effectExtent l="5080" t="4445" r="6350" b="6985"/>
            <wp:docPr id="500" name="图表 500"/>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pPr>
        <w:pStyle w:val="5"/>
        <w:jc w:val="center"/>
      </w:pPr>
      <w:bookmarkStart w:id="814" w:name="_Toc48815693"/>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69</w:t>
      </w:r>
      <w:r>
        <w:rPr>
          <w:rFonts w:hint="eastAsia"/>
        </w:rPr>
        <w:fldChar w:fldCharType="end"/>
      </w:r>
      <w:bookmarkStart w:id="815" w:name="_Toc3860"/>
      <w:bookmarkStart w:id="816" w:name="_Toc25881"/>
      <w:bookmarkStart w:id="817" w:name="_Toc30205"/>
      <w:bookmarkStart w:id="818" w:name="_Toc17664"/>
      <w:bookmarkStart w:id="819" w:name="_Toc26694"/>
      <w:bookmarkStart w:id="820" w:name="_Toc15928"/>
      <w:bookmarkStart w:id="821" w:name="_Toc13951"/>
      <w:bookmarkStart w:id="822" w:name="_Toc23051"/>
      <w:bookmarkStart w:id="823" w:name="_Toc26000"/>
      <w:r>
        <w:rPr>
          <w:rFonts w:hint="eastAsia"/>
        </w:rPr>
        <w:t>：对区块链的了解程度</w:t>
      </w:r>
      <w:bookmarkEnd w:id="814"/>
      <w:bookmarkEnd w:id="815"/>
      <w:bookmarkEnd w:id="816"/>
      <w:bookmarkEnd w:id="817"/>
      <w:bookmarkEnd w:id="818"/>
      <w:bookmarkEnd w:id="819"/>
      <w:bookmarkEnd w:id="820"/>
      <w:bookmarkEnd w:id="821"/>
      <w:bookmarkEnd w:id="822"/>
      <w:bookmarkEnd w:id="823"/>
    </w:p>
    <w:p>
      <w:pPr>
        <w:ind w:firstLine="0" w:firstLineChars="0"/>
      </w:pPr>
      <w:r>
        <w:rPr>
          <w:rFonts w:hint="eastAsia"/>
        </w:rPr>
        <w:t>（图表数据来源：</w:t>
      </w:r>
      <w:bookmarkStart w:id="824" w:name="_Hlk48644502"/>
      <w:r>
        <w:rPr>
          <w:rFonts w:hint="eastAsia"/>
        </w:rPr>
        <w:t>从业人员版新技术应用与网络安全专题第</w:t>
      </w:r>
      <w:bookmarkEnd w:id="824"/>
      <w:r>
        <w:rPr>
          <w:rFonts w:hint="eastAsia"/>
        </w:rPr>
        <w:t>7题：对区块链，您了解多少？）</w:t>
      </w:r>
    </w:p>
    <w:p>
      <w:pPr>
        <w:ind w:firstLine="0" w:firstLineChars="0"/>
      </w:pPr>
    </w:p>
    <w:p>
      <w:r>
        <w:rPr>
          <w:rFonts w:hint="eastAsia"/>
        </w:rPr>
        <w:t>（8）区块链未来发展趋势</w:t>
      </w:r>
    </w:p>
    <w:p>
      <w:r>
        <w:rPr>
          <w:rFonts w:hint="eastAsia"/>
        </w:rPr>
        <w:t>从业人员对区块链未来发展趋势的看法：认为会广泛应用于各行业领域最多，占45.46%，认为只会在某些领域（金融）兴盛的占2</w:t>
      </w:r>
      <w:r>
        <w:t>6.52</w:t>
      </w:r>
      <w:r>
        <w:rPr>
          <w:rFonts w:hint="eastAsia"/>
        </w:rPr>
        <w:t>%和认为无法预料的占23.05%，认为只是一时兴起，最终会被淘汰的4.95%。看好区块链发展的比例不低。</w:t>
      </w:r>
    </w:p>
    <w:p>
      <w:pPr>
        <w:ind w:firstLine="0" w:firstLineChars="0"/>
        <w:jc w:val="center"/>
      </w:pPr>
      <w:r>
        <w:drawing>
          <wp:inline distT="0" distB="0" distL="0" distR="0">
            <wp:extent cx="5046980" cy="2671445"/>
            <wp:effectExtent l="4445" t="4445" r="15875" b="1016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pPr>
        <w:pStyle w:val="5"/>
        <w:jc w:val="center"/>
      </w:pPr>
      <w:bookmarkStart w:id="825" w:name="_Toc48815694"/>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70</w:t>
      </w:r>
      <w:r>
        <w:rPr>
          <w:rFonts w:hint="eastAsia"/>
        </w:rPr>
        <w:fldChar w:fldCharType="end"/>
      </w:r>
      <w:bookmarkStart w:id="826" w:name="_Toc31881"/>
      <w:bookmarkStart w:id="827" w:name="_Toc26263"/>
      <w:bookmarkStart w:id="828" w:name="_Toc4127"/>
      <w:bookmarkStart w:id="829" w:name="_Toc26892"/>
      <w:bookmarkStart w:id="830" w:name="_Toc22178"/>
      <w:bookmarkStart w:id="831" w:name="_Toc2773"/>
      <w:bookmarkStart w:id="832" w:name="_Toc18762"/>
      <w:bookmarkStart w:id="833" w:name="_Toc17592"/>
      <w:bookmarkStart w:id="834" w:name="_Toc31899"/>
      <w:r>
        <w:rPr>
          <w:rFonts w:hint="eastAsia"/>
        </w:rPr>
        <w:t>：区块链未来发展趋势的看法</w:t>
      </w:r>
      <w:bookmarkEnd w:id="825"/>
      <w:bookmarkEnd w:id="826"/>
      <w:bookmarkEnd w:id="827"/>
      <w:bookmarkEnd w:id="828"/>
      <w:bookmarkEnd w:id="829"/>
      <w:bookmarkEnd w:id="830"/>
      <w:bookmarkEnd w:id="831"/>
      <w:bookmarkEnd w:id="832"/>
      <w:bookmarkEnd w:id="833"/>
      <w:bookmarkEnd w:id="834"/>
    </w:p>
    <w:p>
      <w:pPr>
        <w:ind w:firstLine="0" w:firstLineChars="0"/>
      </w:pPr>
      <w:r>
        <w:rPr>
          <w:rFonts w:hint="eastAsia"/>
        </w:rPr>
        <w:t>（图表数据来源：从业人员版新技术应用与网络安全专题第8题：您觉得区块链未来发展会如何？）</w:t>
      </w:r>
    </w:p>
    <w:p>
      <w:pPr>
        <w:ind w:firstLine="0" w:firstLineChars="0"/>
      </w:pPr>
    </w:p>
    <w:p>
      <w:r>
        <w:rPr>
          <w:rFonts w:hint="eastAsia"/>
        </w:rPr>
        <w:t>（9）所在单位对大数据技术应用情况</w:t>
      </w:r>
    </w:p>
    <w:p>
      <w:r>
        <w:rPr>
          <w:rFonts w:hint="eastAsia"/>
        </w:rPr>
        <w:t>从业人员所在单位对大数据技术的应用情况方面，51.63%的从业人员所在单位有应用了大数据技术；25.51%的从业人员所在单位没有应用大数据技术，22.85%表示不清楚。数据显示大数据开始在从业人员单位得到较广泛的应用。</w:t>
      </w:r>
    </w:p>
    <w:p>
      <w:pPr>
        <w:ind w:firstLine="0" w:firstLineChars="0"/>
        <w:jc w:val="center"/>
      </w:pPr>
      <w:r>
        <w:drawing>
          <wp:inline distT="0" distB="0" distL="0" distR="0">
            <wp:extent cx="5012690" cy="2640330"/>
            <wp:effectExtent l="4445" t="4445" r="12065" b="2222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pPr>
        <w:pStyle w:val="5"/>
        <w:jc w:val="center"/>
        <w:rPr>
          <w:sz w:val="22"/>
        </w:rPr>
      </w:pPr>
      <w:bookmarkStart w:id="835" w:name="_Toc48815695"/>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71</w:t>
      </w:r>
      <w:r>
        <w:rPr>
          <w:rFonts w:hint="eastAsia"/>
        </w:rPr>
        <w:fldChar w:fldCharType="end"/>
      </w:r>
      <w:bookmarkStart w:id="836" w:name="_Toc15811"/>
      <w:bookmarkStart w:id="837" w:name="_Toc7452"/>
      <w:bookmarkStart w:id="838" w:name="_Toc17601"/>
      <w:bookmarkStart w:id="839" w:name="_Toc4269"/>
      <w:bookmarkStart w:id="840" w:name="_Toc27788"/>
      <w:bookmarkStart w:id="841" w:name="_Toc25632"/>
      <w:bookmarkStart w:id="842" w:name="_Toc20659"/>
      <w:bookmarkStart w:id="843" w:name="_Toc8683"/>
      <w:bookmarkStart w:id="844" w:name="_Toc19269"/>
      <w:r>
        <w:rPr>
          <w:rFonts w:hint="eastAsia"/>
        </w:rPr>
        <w:t>：所在单位大数据技术应用情况</w:t>
      </w:r>
      <w:bookmarkEnd w:id="835"/>
      <w:bookmarkEnd w:id="836"/>
      <w:bookmarkEnd w:id="837"/>
      <w:bookmarkEnd w:id="838"/>
      <w:bookmarkEnd w:id="839"/>
      <w:bookmarkEnd w:id="840"/>
      <w:bookmarkEnd w:id="841"/>
      <w:bookmarkEnd w:id="842"/>
      <w:bookmarkEnd w:id="843"/>
      <w:bookmarkEnd w:id="844"/>
    </w:p>
    <w:p>
      <w:pPr>
        <w:ind w:firstLine="0" w:firstLineChars="0"/>
      </w:pPr>
      <w:r>
        <w:rPr>
          <w:rFonts w:hint="eastAsia"/>
        </w:rPr>
        <w:t>（图表数据来源：从业人员版新技术应用与网络安全专题第9题：您现所在单位是否应用了大数据技术？）</w:t>
      </w:r>
    </w:p>
    <w:p>
      <w:pPr>
        <w:ind w:firstLine="0" w:firstLineChars="0"/>
      </w:pPr>
    </w:p>
    <w:p>
      <w:r>
        <w:rPr>
          <w:rFonts w:hint="eastAsia"/>
        </w:rPr>
        <w:t>（10）目前大数据技术应用存在的问题</w:t>
      </w:r>
    </w:p>
    <w:p>
      <w:r>
        <w:rPr>
          <w:rFonts w:hint="eastAsia"/>
        </w:rPr>
        <w:t>目前大数据技术应用存在的问题排前5位是：1专业人员匮乏（关注度60.</w:t>
      </w:r>
      <w:r>
        <w:t>95</w:t>
      </w:r>
      <w:r>
        <w:rPr>
          <w:rFonts w:hint="eastAsia"/>
        </w:rPr>
        <w:t>%），2监管制度不完善（56.49%），3数据采集渠道不畅（</w:t>
      </w:r>
      <w:r>
        <w:t>54.66</w:t>
      </w:r>
      <w:r>
        <w:rPr>
          <w:rFonts w:hint="eastAsia"/>
        </w:rPr>
        <w:t>%），4缺少数据共享政策规范支持（54.23%），5没有相关预算（32.90%）。数据显示人才、制度、渠道、规范等问题是大家比较关注的。</w:t>
      </w:r>
    </w:p>
    <w:p>
      <w:pPr>
        <w:ind w:firstLine="0" w:firstLineChars="0"/>
        <w:jc w:val="center"/>
      </w:pPr>
      <w:r>
        <w:drawing>
          <wp:inline distT="0" distB="0" distL="0" distR="0">
            <wp:extent cx="5234940" cy="2743200"/>
            <wp:effectExtent l="4445" t="4445" r="18415" b="14605"/>
            <wp:docPr id="31"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pPr>
        <w:pStyle w:val="5"/>
        <w:jc w:val="center"/>
      </w:pPr>
      <w:bookmarkStart w:id="845" w:name="_Toc48815696"/>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72</w:t>
      </w:r>
      <w:r>
        <w:rPr>
          <w:rFonts w:hint="eastAsia"/>
        </w:rPr>
        <w:fldChar w:fldCharType="end"/>
      </w:r>
      <w:bookmarkStart w:id="846" w:name="_Toc7496"/>
      <w:bookmarkStart w:id="847" w:name="_Toc6549"/>
      <w:bookmarkStart w:id="848" w:name="_Toc2022"/>
      <w:bookmarkStart w:id="849" w:name="_Toc25304"/>
      <w:bookmarkStart w:id="850" w:name="_Toc4558"/>
      <w:bookmarkStart w:id="851" w:name="_Toc20800"/>
      <w:bookmarkStart w:id="852" w:name="_Toc2302"/>
      <w:bookmarkStart w:id="853" w:name="_Toc23210"/>
      <w:bookmarkStart w:id="854" w:name="_Toc32250"/>
      <w:r>
        <w:rPr>
          <w:rFonts w:hint="eastAsia"/>
        </w:rPr>
        <w:t>：目前大数据技术应用存在的问题</w:t>
      </w:r>
      <w:bookmarkEnd w:id="845"/>
      <w:bookmarkEnd w:id="846"/>
      <w:bookmarkEnd w:id="847"/>
      <w:bookmarkEnd w:id="848"/>
      <w:bookmarkEnd w:id="849"/>
      <w:bookmarkEnd w:id="850"/>
      <w:bookmarkEnd w:id="851"/>
      <w:bookmarkEnd w:id="852"/>
      <w:bookmarkEnd w:id="853"/>
      <w:bookmarkEnd w:id="854"/>
    </w:p>
    <w:p>
      <w:pPr>
        <w:ind w:firstLine="0" w:firstLineChars="0"/>
      </w:pPr>
      <w:r>
        <w:rPr>
          <w:rFonts w:hint="eastAsia"/>
        </w:rPr>
        <w:t>（图表数据来源：从业人员版新技术应用与网络安全专题第10题：您认为目前大数据技术应用上存在哪些问题？）</w:t>
      </w:r>
    </w:p>
    <w:p>
      <w:pPr>
        <w:ind w:firstLine="0" w:firstLineChars="0"/>
      </w:pPr>
    </w:p>
    <w:p>
      <w:r>
        <w:rPr>
          <w:rFonts w:hint="eastAsia"/>
        </w:rPr>
        <w:t>（11）对物联网的应用的感受</w:t>
      </w:r>
    </w:p>
    <w:p>
      <w:r>
        <w:rPr>
          <w:rFonts w:hint="eastAsia"/>
        </w:rPr>
        <w:t>从业人员对物联网应用的感受排前3位是：1智能家居领域（关注度72</w:t>
      </w:r>
      <w:r>
        <w:t>%</w:t>
      </w:r>
      <w:r>
        <w:rPr>
          <w:rFonts w:hint="eastAsia"/>
        </w:rPr>
        <w:t>）2智能物流（</w:t>
      </w:r>
      <w:r>
        <w:t>51.62</w:t>
      </w:r>
      <w:r>
        <w:rPr>
          <w:rFonts w:hint="eastAsia"/>
        </w:rPr>
        <w:t>%），3智能交通（47.70</w:t>
      </w:r>
      <w:r>
        <w:t>%</w:t>
      </w:r>
      <w:r>
        <w:rPr>
          <w:rFonts w:hint="eastAsia"/>
        </w:rPr>
        <w:t>）。显示在智能家居、物流、交通等领域物联网技术应用比较广泛。</w:t>
      </w:r>
    </w:p>
    <w:p>
      <w:pPr>
        <w:ind w:firstLine="0" w:firstLineChars="0"/>
        <w:jc w:val="center"/>
      </w:pPr>
      <w:r>
        <w:drawing>
          <wp:inline distT="0" distB="0" distL="0" distR="0">
            <wp:extent cx="5283835" cy="2743200"/>
            <wp:effectExtent l="4445" t="4445" r="7620" b="14605"/>
            <wp:docPr id="449" name="图表 449"/>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pPr>
        <w:pStyle w:val="5"/>
        <w:jc w:val="center"/>
      </w:pPr>
      <w:bookmarkStart w:id="855" w:name="_Toc48815697"/>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73</w:t>
      </w:r>
      <w:r>
        <w:rPr>
          <w:rFonts w:hint="eastAsia"/>
        </w:rPr>
        <w:fldChar w:fldCharType="end"/>
      </w:r>
      <w:bookmarkStart w:id="856" w:name="_Toc8189"/>
      <w:bookmarkStart w:id="857" w:name="_Toc701"/>
      <w:bookmarkStart w:id="858" w:name="_Toc2916"/>
      <w:bookmarkStart w:id="859" w:name="_Toc19378"/>
      <w:bookmarkStart w:id="860" w:name="_Toc1501"/>
      <w:bookmarkStart w:id="861" w:name="_Toc32198"/>
      <w:bookmarkStart w:id="862" w:name="_Toc29818"/>
      <w:bookmarkStart w:id="863" w:name="_Toc922"/>
      <w:bookmarkStart w:id="864" w:name="_Toc11518"/>
      <w:r>
        <w:rPr>
          <w:rFonts w:hint="eastAsia"/>
        </w:rPr>
        <w:t>：体验过物联网应用的领域</w:t>
      </w:r>
      <w:bookmarkEnd w:id="855"/>
      <w:bookmarkEnd w:id="856"/>
      <w:bookmarkEnd w:id="857"/>
      <w:bookmarkEnd w:id="858"/>
      <w:bookmarkEnd w:id="859"/>
      <w:bookmarkEnd w:id="860"/>
      <w:bookmarkEnd w:id="861"/>
      <w:bookmarkEnd w:id="862"/>
      <w:bookmarkEnd w:id="863"/>
      <w:bookmarkEnd w:id="864"/>
    </w:p>
    <w:p>
      <w:pPr>
        <w:ind w:firstLine="0" w:firstLineChars="0"/>
      </w:pPr>
      <w:r>
        <w:rPr>
          <w:rFonts w:hint="eastAsia"/>
        </w:rPr>
        <w:t>（图表数据来源：从业人员版新技术应用与网络安全专题第11题：您在哪些领域体验过物联网的应用？）</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（12）物联网安全风险认知</w:t>
      </w:r>
    </w:p>
    <w:p>
      <w:r>
        <w:rPr>
          <w:rFonts w:hint="eastAsia"/>
        </w:rPr>
        <w:t>从业人员对当下的物联网安全风险看法为：77.12%认为信息安全风险高，65.26%认为物联网设备不安全，52.10%认为企业未进阿里完善的安全管理机制，51.41</w:t>
      </w:r>
      <w:r>
        <w:t>%</w:t>
      </w:r>
      <w:r>
        <w:rPr>
          <w:rFonts w:hint="eastAsia"/>
        </w:rPr>
        <w:t>从业人员认为物联网使用人员易误操作。数据显示从业人员对物联网的安全风险是比较担心的。</w:t>
      </w:r>
    </w:p>
    <w:p>
      <w:pPr>
        <w:ind w:firstLine="0" w:firstLineChars="0"/>
        <w:jc w:val="center"/>
      </w:pPr>
      <w:r>
        <w:drawing>
          <wp:inline distT="0" distB="0" distL="0" distR="0">
            <wp:extent cx="5274310" cy="2513330"/>
            <wp:effectExtent l="4445" t="4445" r="17145" b="15875"/>
            <wp:docPr id="451" name="图表 451"/>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pPr>
        <w:pStyle w:val="5"/>
        <w:jc w:val="center"/>
      </w:pPr>
      <w:bookmarkStart w:id="865" w:name="_Toc48815698"/>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74</w:t>
      </w:r>
      <w:r>
        <w:rPr>
          <w:rFonts w:hint="eastAsia"/>
        </w:rPr>
        <w:fldChar w:fldCharType="end"/>
      </w:r>
      <w:bookmarkStart w:id="866" w:name="_Toc9726"/>
      <w:bookmarkStart w:id="867" w:name="_Toc4320"/>
      <w:bookmarkStart w:id="868" w:name="_Toc24903"/>
      <w:bookmarkStart w:id="869" w:name="_Toc30710"/>
      <w:bookmarkStart w:id="870" w:name="_Toc12477"/>
      <w:bookmarkStart w:id="871" w:name="_Toc29536"/>
      <w:bookmarkStart w:id="872" w:name="_Toc30077"/>
      <w:bookmarkStart w:id="873" w:name="_Toc22120"/>
      <w:bookmarkStart w:id="874" w:name="_Toc18017"/>
      <w:r>
        <w:rPr>
          <w:rFonts w:hint="eastAsia"/>
        </w:rPr>
        <w:t>：物联网安全风险</w:t>
      </w:r>
      <w:bookmarkEnd w:id="865"/>
      <w:bookmarkEnd w:id="866"/>
      <w:bookmarkEnd w:id="867"/>
      <w:bookmarkEnd w:id="868"/>
      <w:bookmarkEnd w:id="869"/>
      <w:bookmarkEnd w:id="870"/>
      <w:bookmarkEnd w:id="871"/>
      <w:bookmarkEnd w:id="872"/>
      <w:bookmarkEnd w:id="873"/>
      <w:bookmarkEnd w:id="874"/>
    </w:p>
    <w:p>
      <w:pPr>
        <w:ind w:firstLine="0" w:firstLineChars="0"/>
      </w:pPr>
      <w:r>
        <w:rPr>
          <w:rFonts w:hint="eastAsia"/>
        </w:rPr>
        <w:t>（图表数据来源：从业人员版新技术应用与网络安全专题第12题：您认为当下的物联网安全风险主要存在哪些方面？）</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（13）数字政府和智慧城市的网络安全状况评价</w:t>
      </w:r>
    </w:p>
    <w:p>
      <w:r>
        <w:rPr>
          <w:rFonts w:hint="eastAsia"/>
        </w:rPr>
        <w:t>从业人员对数字政府和智慧城市的网络安全状况评价：10.19%从业人员认为非常安全，42.42%认为比较安全，40.54%认为一般。数据显示超过一半的从业人员认为数字政府和智慧城市的网络安全状况是比较安全的。</w:t>
      </w:r>
    </w:p>
    <w:p>
      <w:pPr>
        <w:ind w:firstLine="0" w:firstLineChars="0"/>
        <w:jc w:val="center"/>
      </w:pPr>
      <w:r>
        <w:drawing>
          <wp:inline distT="0" distB="0" distL="0" distR="0">
            <wp:extent cx="5283835" cy="2743200"/>
            <wp:effectExtent l="4445" t="4445" r="7620" b="14605"/>
            <wp:docPr id="453" name="图表 453"/>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pPr>
        <w:pStyle w:val="5"/>
        <w:jc w:val="center"/>
      </w:pPr>
      <w:bookmarkStart w:id="875" w:name="_Toc48815699"/>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75</w:t>
      </w:r>
      <w:r>
        <w:rPr>
          <w:rFonts w:hint="eastAsia"/>
        </w:rPr>
        <w:fldChar w:fldCharType="end"/>
      </w:r>
      <w:bookmarkStart w:id="876" w:name="_Toc13817"/>
      <w:bookmarkStart w:id="877" w:name="_Toc391"/>
      <w:bookmarkStart w:id="878" w:name="_Toc8497"/>
      <w:bookmarkStart w:id="879" w:name="_Toc1772"/>
      <w:bookmarkStart w:id="880" w:name="_Toc12717"/>
      <w:bookmarkStart w:id="881" w:name="_Toc997"/>
      <w:bookmarkStart w:id="882" w:name="_Toc24468"/>
      <w:bookmarkStart w:id="883" w:name="_Toc31806"/>
      <w:bookmarkStart w:id="884" w:name="_Toc16790"/>
      <w:r>
        <w:rPr>
          <w:rFonts w:hint="eastAsia"/>
        </w:rPr>
        <w:t>：数字政府和智慧城市的网络安全状况评价</w:t>
      </w:r>
      <w:bookmarkEnd w:id="875"/>
      <w:bookmarkEnd w:id="876"/>
      <w:bookmarkEnd w:id="877"/>
      <w:bookmarkEnd w:id="878"/>
      <w:bookmarkEnd w:id="879"/>
      <w:bookmarkEnd w:id="880"/>
      <w:bookmarkEnd w:id="881"/>
      <w:bookmarkEnd w:id="882"/>
      <w:bookmarkEnd w:id="883"/>
      <w:bookmarkEnd w:id="884"/>
    </w:p>
    <w:p>
      <w:pPr>
        <w:ind w:firstLine="0" w:firstLineChars="0"/>
      </w:pPr>
      <w:r>
        <w:rPr>
          <w:rFonts w:hint="eastAsia"/>
        </w:rPr>
        <w:t>（图表数据来源：从业人员版新技术应用与网络安全专题第13题：您对数字政府和智慧城市的网络安全状况评价？）</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（14）数字政府和智慧城市中新技术的应用效果评价</w:t>
      </w:r>
    </w:p>
    <w:p>
      <w:r>
        <w:rPr>
          <w:rFonts w:hint="eastAsia"/>
        </w:rPr>
        <w:t>从业人员对数字政府和智慧城市中新技术的应用效果评价：11.70%从业人员认为非常满意，38.72%认为满意，44.59%认为一般。数据显示超过一半的从业人员认为数字政府和智慧城市中新技术的应用效果是令人满意的。</w:t>
      </w:r>
    </w:p>
    <w:p>
      <w:pPr>
        <w:ind w:firstLine="0" w:firstLineChars="0"/>
        <w:jc w:val="center"/>
      </w:pPr>
      <w:r>
        <w:drawing>
          <wp:inline distT="0" distB="0" distL="0" distR="0">
            <wp:extent cx="5153025" cy="2743200"/>
            <wp:effectExtent l="4445" t="4445" r="5080" b="14605"/>
            <wp:docPr id="457" name="图表 457"/>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pPr>
        <w:pStyle w:val="5"/>
        <w:jc w:val="center"/>
      </w:pPr>
      <w:bookmarkStart w:id="885" w:name="_Toc48815700"/>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76</w:t>
      </w:r>
      <w:r>
        <w:rPr>
          <w:rFonts w:hint="eastAsia"/>
        </w:rPr>
        <w:fldChar w:fldCharType="end"/>
      </w:r>
      <w:bookmarkStart w:id="886" w:name="_Toc1637"/>
      <w:bookmarkStart w:id="887" w:name="_Toc2361"/>
      <w:bookmarkStart w:id="888" w:name="_Toc24806"/>
      <w:bookmarkStart w:id="889" w:name="_Toc21428"/>
      <w:bookmarkStart w:id="890" w:name="_Toc2450"/>
      <w:bookmarkStart w:id="891" w:name="_Toc27582"/>
      <w:bookmarkStart w:id="892" w:name="_Toc25983"/>
      <w:bookmarkStart w:id="893" w:name="_Toc4872"/>
      <w:bookmarkStart w:id="894" w:name="_Toc16147"/>
      <w:r>
        <w:rPr>
          <w:rFonts w:hint="eastAsia"/>
        </w:rPr>
        <w:t>：数字政府和智慧城市中新技术的应用效果评价</w:t>
      </w:r>
      <w:bookmarkEnd w:id="885"/>
      <w:bookmarkEnd w:id="886"/>
      <w:bookmarkEnd w:id="887"/>
      <w:bookmarkEnd w:id="888"/>
      <w:bookmarkEnd w:id="889"/>
      <w:bookmarkEnd w:id="890"/>
      <w:bookmarkEnd w:id="891"/>
      <w:bookmarkEnd w:id="892"/>
      <w:bookmarkEnd w:id="893"/>
      <w:bookmarkEnd w:id="894"/>
    </w:p>
    <w:p>
      <w:pPr>
        <w:ind w:firstLine="0" w:firstLineChars="0"/>
      </w:pPr>
      <w:r>
        <w:rPr>
          <w:rFonts w:hint="eastAsia"/>
        </w:rPr>
        <w:t>（图表数据来源：从业人员版新技术应用与网络安全专题第14题：您对数字政府和智慧城市中新技术的应用效果评价？）</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（15）加强新技术应用的网络安全保障的建议</w:t>
      </w:r>
    </w:p>
    <w:p>
      <w:r>
        <w:rPr>
          <w:rFonts w:hint="eastAsia"/>
        </w:rPr>
        <w:t>从业人员对加强新技术应用的网络安全保障的建议排前3位的位：1较强自主创新加快技术研发（认同率77.67%）、2完善法律法规（认同率76.14%）、3健全行业监管加大执法与惩戒力度（72.74%）。数据显示从业人员对加快自主创新、完善法规、坚强监管等方面比较关注。</w:t>
      </w:r>
    </w:p>
    <w:p>
      <w:pPr>
        <w:ind w:firstLine="0" w:firstLineChars="0"/>
      </w:pPr>
      <w:r>
        <w:drawing>
          <wp:inline distT="0" distB="0" distL="0" distR="0">
            <wp:extent cx="5274310" cy="2665095"/>
            <wp:effectExtent l="4445" t="4445" r="17145" b="16510"/>
            <wp:docPr id="460" name="图表 460"/>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pPr>
        <w:pStyle w:val="5"/>
        <w:jc w:val="center"/>
      </w:pPr>
      <w:bookmarkStart w:id="895" w:name="_Toc48815701"/>
      <w:r>
        <w:t xml:space="preserve">图表 </w:t>
      </w:r>
      <w:r>
        <w:fldChar w:fldCharType="begin"/>
      </w:r>
      <w:r>
        <w:instrText xml:space="preserve"> SEQ 图表 \* ARABIC </w:instrText>
      </w:r>
      <w:r>
        <w:fldChar w:fldCharType="separate"/>
      </w:r>
      <w:r>
        <w:t>77</w:t>
      </w:r>
      <w:r>
        <w:fldChar w:fldCharType="end"/>
      </w:r>
      <w:bookmarkStart w:id="896" w:name="_Toc15921"/>
      <w:bookmarkStart w:id="897" w:name="_Toc12337"/>
      <w:bookmarkStart w:id="898" w:name="_Toc29146"/>
      <w:bookmarkStart w:id="899" w:name="_Toc16282"/>
      <w:bookmarkStart w:id="900" w:name="_Toc30700"/>
      <w:bookmarkStart w:id="901" w:name="_Toc24392"/>
      <w:bookmarkStart w:id="902" w:name="_Toc25873"/>
      <w:bookmarkStart w:id="903" w:name="_Toc19881"/>
      <w:bookmarkStart w:id="904" w:name="_Toc13062"/>
      <w:r>
        <w:rPr>
          <w:rFonts w:hint="eastAsia"/>
        </w:rPr>
        <w:t>：加强新技术应用的网络安全保障的建议</w:t>
      </w:r>
      <w:bookmarkEnd w:id="895"/>
      <w:bookmarkEnd w:id="896"/>
      <w:bookmarkEnd w:id="897"/>
      <w:bookmarkEnd w:id="898"/>
      <w:bookmarkEnd w:id="899"/>
      <w:bookmarkEnd w:id="900"/>
      <w:bookmarkEnd w:id="901"/>
      <w:bookmarkEnd w:id="902"/>
      <w:bookmarkEnd w:id="903"/>
      <w:bookmarkEnd w:id="904"/>
    </w:p>
    <w:p>
      <w:pPr>
        <w:ind w:firstLine="0" w:firstLineChars="0"/>
      </w:pPr>
      <w:r>
        <w:rPr>
          <w:rFonts w:hint="eastAsia"/>
        </w:rPr>
        <w:t>（图表数据来源：从业人员版新技术应用与网络安全专题第15题：您对加强新技术应用的网络安全保障有哪些建议？）</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r>
        <w:br w:type="page"/>
      </w:r>
    </w:p>
    <w:p>
      <w:pPr>
        <w:pStyle w:val="3"/>
      </w:pPr>
      <w:bookmarkStart w:id="905" w:name="_Toc20789"/>
      <w:r>
        <w:rPr>
          <w:rFonts w:hint="eastAsia"/>
        </w:rPr>
        <w:t>5.4、科技创新与人才培养专题</w:t>
      </w:r>
      <w:bookmarkEnd w:id="905"/>
    </w:p>
    <w:p>
      <w:r>
        <w:rPr>
          <w:rFonts w:hint="eastAsia"/>
        </w:rPr>
        <w:t>本专题重庆市采集数量太少不做统计，附全国的统计数据作参考。全国参与本专题答题的从业人员人数为1263。</w:t>
      </w:r>
    </w:p>
    <w:p>
      <w:r>
        <w:rPr>
          <w:rFonts w:hint="eastAsia"/>
        </w:rPr>
        <w:t>（1）网络安全科研经费预算</w:t>
      </w:r>
    </w:p>
    <w:p>
      <w:r>
        <w:rPr>
          <w:rFonts w:hint="eastAsia"/>
        </w:rPr>
        <w:t>在网络安全科研经费预算方面：8.78%从业人员所在单位网络安全科研经费预算充裕，19.03%从业人员所在单位科研经费预算较充裕，38.81%科研经费预算一般，17.41%预算较少，15.94%没有预算。数据显示大部分（72.16%）从业人员所在单位网络安全科研经费一般或较少。</w:t>
      </w:r>
    </w:p>
    <w:p>
      <w:pPr>
        <w:ind w:firstLine="0" w:firstLineChars="0"/>
        <w:jc w:val="center"/>
      </w:pPr>
      <w:r>
        <w:drawing>
          <wp:inline distT="0" distB="0" distL="0" distR="0">
            <wp:extent cx="5410200" cy="2743200"/>
            <wp:effectExtent l="0" t="0" r="0" b="0"/>
            <wp:docPr id="464" name="图表 464"/>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pPr>
        <w:pStyle w:val="5"/>
        <w:jc w:val="center"/>
      </w:pPr>
      <w:bookmarkStart w:id="906" w:name="_Toc48815702"/>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78</w:t>
      </w:r>
      <w:r>
        <w:rPr>
          <w:rFonts w:hint="eastAsia"/>
        </w:rPr>
        <w:fldChar w:fldCharType="end"/>
      </w:r>
      <w:bookmarkStart w:id="907" w:name="_Toc8229"/>
      <w:bookmarkStart w:id="908" w:name="_Toc7924"/>
      <w:bookmarkStart w:id="909" w:name="_Toc13701"/>
      <w:bookmarkStart w:id="910" w:name="_Toc8737"/>
      <w:bookmarkStart w:id="911" w:name="_Toc12595"/>
      <w:bookmarkStart w:id="912" w:name="_Toc4288"/>
      <w:bookmarkStart w:id="913" w:name="_Toc30558"/>
      <w:bookmarkStart w:id="914" w:name="_Toc10626"/>
      <w:bookmarkStart w:id="915" w:name="_Toc23568"/>
      <w:r>
        <w:rPr>
          <w:rFonts w:hint="eastAsia"/>
        </w:rPr>
        <w:t>：所在单位网络安全科研经费预算情况</w:t>
      </w:r>
      <w:bookmarkEnd w:id="906"/>
      <w:bookmarkEnd w:id="907"/>
      <w:bookmarkEnd w:id="908"/>
      <w:bookmarkEnd w:id="909"/>
      <w:bookmarkEnd w:id="910"/>
      <w:bookmarkEnd w:id="911"/>
      <w:bookmarkEnd w:id="912"/>
      <w:bookmarkEnd w:id="913"/>
      <w:bookmarkEnd w:id="914"/>
      <w:bookmarkEnd w:id="915"/>
    </w:p>
    <w:p>
      <w:pPr>
        <w:ind w:firstLine="0" w:firstLineChars="0"/>
      </w:pPr>
      <w:r>
        <w:rPr>
          <w:rFonts w:hint="eastAsia"/>
        </w:rPr>
        <w:t>（图表数据来源：从业人员版科技创新与人才培养专题第1题：您所在单位在网络安全方面有没有专门的科研经费预算？）</w:t>
      </w:r>
    </w:p>
    <w:p>
      <w:pPr>
        <w:ind w:firstLine="0" w:firstLineChars="0"/>
      </w:pPr>
    </w:p>
    <w:p>
      <w:r>
        <w:rPr>
          <w:rFonts w:hint="eastAsia"/>
        </w:rPr>
        <w:t>（2）疫情对本单位网络安全方面的资金投入的影响</w:t>
      </w:r>
    </w:p>
    <w:p>
      <w:r>
        <w:rPr>
          <w:rFonts w:hint="eastAsia"/>
        </w:rPr>
        <w:t>疫情对本单位网络安全方面的资金投入的影响方面：10.34%从业人员所在单位网络安全投入明显增加，23.80%从业人员所在单位网络安全投入有所增加，29.47%投入资金不变，24.38%投入减少，11.98%投入明显减少。数据显示从业人员所在单位网络安全投入方面受到疫情的影响在总体上呈均衡态势，总的来说影响不大。</w:t>
      </w:r>
    </w:p>
    <w:p>
      <w:pPr>
        <w:ind w:firstLine="0" w:firstLineChars="0"/>
      </w:pPr>
      <w:r>
        <w:drawing>
          <wp:inline distT="0" distB="0" distL="0" distR="0">
            <wp:extent cx="5231130" cy="2743200"/>
            <wp:effectExtent l="0" t="0" r="7620" b="0"/>
            <wp:docPr id="468" name="图表 468"/>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pPr>
        <w:pStyle w:val="5"/>
        <w:jc w:val="center"/>
      </w:pPr>
      <w:bookmarkStart w:id="916" w:name="_Toc48815703"/>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79</w:t>
      </w:r>
      <w:r>
        <w:rPr>
          <w:rFonts w:hint="eastAsia"/>
        </w:rPr>
        <w:fldChar w:fldCharType="end"/>
      </w:r>
      <w:bookmarkStart w:id="917" w:name="_Toc25214"/>
      <w:bookmarkStart w:id="918" w:name="_Toc3562"/>
      <w:bookmarkStart w:id="919" w:name="_Toc20953"/>
      <w:bookmarkStart w:id="920" w:name="_Toc4888"/>
      <w:bookmarkStart w:id="921" w:name="_Toc22346"/>
      <w:bookmarkStart w:id="922" w:name="_Toc4462"/>
      <w:bookmarkStart w:id="923" w:name="_Toc22735"/>
      <w:bookmarkStart w:id="924" w:name="_Toc32541"/>
      <w:bookmarkStart w:id="925" w:name="_Toc17173"/>
      <w:r>
        <w:rPr>
          <w:rFonts w:hint="eastAsia"/>
        </w:rPr>
        <w:t>：疫情冲击对本单位网络安全资金投入的影响</w:t>
      </w:r>
      <w:bookmarkEnd w:id="916"/>
      <w:bookmarkEnd w:id="917"/>
      <w:bookmarkEnd w:id="918"/>
      <w:bookmarkEnd w:id="919"/>
      <w:bookmarkEnd w:id="920"/>
      <w:bookmarkEnd w:id="921"/>
      <w:bookmarkEnd w:id="922"/>
      <w:bookmarkEnd w:id="923"/>
      <w:bookmarkEnd w:id="924"/>
      <w:bookmarkEnd w:id="925"/>
    </w:p>
    <w:p>
      <w:pPr>
        <w:ind w:firstLine="0" w:firstLineChars="0"/>
      </w:pPr>
      <w:r>
        <w:rPr>
          <w:rFonts w:hint="eastAsia"/>
        </w:rPr>
        <w:t>（图表数据来源：从业人员版科技创新与人才培养专题第2题：全球疫情冲击带来的经济萎缩、收入减少对本单位网络安全方面的资金投入有什么影响？）</w:t>
      </w:r>
    </w:p>
    <w:p>
      <w:pPr>
        <w:ind w:firstLine="0" w:firstLineChars="0"/>
      </w:pPr>
    </w:p>
    <w:p>
      <w:r>
        <w:rPr>
          <w:rFonts w:hint="eastAsia"/>
        </w:rPr>
        <w:t>（3）网络安全科研课题立项和管理的评价</w:t>
      </w:r>
    </w:p>
    <w:p>
      <w:r>
        <w:rPr>
          <w:rFonts w:hint="eastAsia"/>
        </w:rPr>
        <w:t>从业人员对网络安全科研课题立项和管理方面的评价：10.55%表示非常满意，31.58%表示满意，45.66%表示一般，8.51%表示不满意，3.68%表示非常不满意。数据显示从业人员对科研课题立项和管理的评价中间偏好。</w:t>
      </w:r>
    </w:p>
    <w:p>
      <w:pPr>
        <w:ind w:firstLine="0" w:firstLineChars="0"/>
        <w:jc w:val="center"/>
      </w:pPr>
      <w:r>
        <w:drawing>
          <wp:inline distT="0" distB="0" distL="0" distR="0">
            <wp:extent cx="5231130" cy="2743200"/>
            <wp:effectExtent l="4445" t="4445" r="22225" b="14605"/>
            <wp:docPr id="471" name="图表 471"/>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pPr>
        <w:pStyle w:val="5"/>
        <w:jc w:val="center"/>
      </w:pPr>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80</w:t>
      </w:r>
      <w:r>
        <w:rPr>
          <w:rFonts w:hint="eastAsia"/>
        </w:rPr>
        <w:fldChar w:fldCharType="end"/>
      </w:r>
      <w:bookmarkStart w:id="926" w:name="_Toc13859"/>
      <w:bookmarkStart w:id="927" w:name="_Toc6659"/>
      <w:bookmarkStart w:id="928" w:name="_Toc28407"/>
      <w:bookmarkStart w:id="929" w:name="_Toc2136"/>
      <w:bookmarkStart w:id="930" w:name="_Toc3411"/>
      <w:bookmarkStart w:id="931" w:name="_Toc315"/>
      <w:bookmarkStart w:id="932" w:name="_Toc5508"/>
      <w:bookmarkStart w:id="933" w:name="_Toc3660"/>
      <w:bookmarkStart w:id="934" w:name="_Toc2826"/>
      <w:r>
        <w:rPr>
          <w:rFonts w:hint="eastAsia"/>
        </w:rPr>
        <w:t>：网络安全科研课题立项和管理方面的满意度</w:t>
      </w:r>
      <w:bookmarkEnd w:id="926"/>
      <w:bookmarkEnd w:id="927"/>
      <w:bookmarkEnd w:id="928"/>
      <w:bookmarkEnd w:id="929"/>
      <w:bookmarkEnd w:id="930"/>
      <w:bookmarkEnd w:id="931"/>
      <w:bookmarkEnd w:id="932"/>
      <w:bookmarkEnd w:id="933"/>
      <w:bookmarkEnd w:id="934"/>
    </w:p>
    <w:p>
      <w:pPr>
        <w:ind w:firstLine="0" w:firstLineChars="0"/>
      </w:pPr>
      <w:r>
        <w:rPr>
          <w:rFonts w:hint="eastAsia"/>
        </w:rPr>
        <w:t>（图表数据来源：从业人员版科技创新与人才培养专题第3题：您对网络安全科研课题立项和管理方面的状况是否满意？）</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（4）网络安全科研工作需要改善的地方</w:t>
      </w:r>
    </w:p>
    <w:p>
      <w:r>
        <w:rPr>
          <w:rFonts w:hint="eastAsia"/>
        </w:rPr>
        <w:t>从业人员对网络安全科研工作需要改善的地方的看法：1课题规划（关注度61.81</w:t>
      </w:r>
      <w:r>
        <w:t>%</w:t>
      </w:r>
      <w:r>
        <w:rPr>
          <w:rFonts w:hint="eastAsia"/>
        </w:rPr>
        <w:t>）、2经费管理（关注度58.29%）、3项目管理（关注度55.84%）。数据显示从业人员对科研工作不满意的地方主要在课题规划、经费管理、项目管理等方面。</w:t>
      </w:r>
    </w:p>
    <w:p>
      <w:pPr>
        <w:ind w:firstLine="0" w:firstLineChars="0"/>
        <w:jc w:val="center"/>
      </w:pPr>
      <w:r>
        <w:drawing>
          <wp:inline distT="0" distB="0" distL="0" distR="0">
            <wp:extent cx="5143500" cy="2743200"/>
            <wp:effectExtent l="4445" t="4445" r="14605" b="14605"/>
            <wp:docPr id="474" name="图表 474"/>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pPr>
        <w:pStyle w:val="5"/>
        <w:jc w:val="center"/>
      </w:pPr>
      <w:bookmarkStart w:id="935" w:name="_Toc48815705"/>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81</w:t>
      </w:r>
      <w:r>
        <w:rPr>
          <w:rFonts w:hint="eastAsia"/>
        </w:rPr>
        <w:fldChar w:fldCharType="end"/>
      </w:r>
      <w:bookmarkStart w:id="936" w:name="_Toc29017"/>
      <w:bookmarkStart w:id="937" w:name="_Toc6235"/>
      <w:bookmarkStart w:id="938" w:name="_Toc3482"/>
      <w:bookmarkStart w:id="939" w:name="_Toc21618"/>
      <w:bookmarkStart w:id="940" w:name="_Toc943"/>
      <w:bookmarkStart w:id="941" w:name="_Toc29674"/>
      <w:bookmarkStart w:id="942" w:name="_Toc4381"/>
      <w:bookmarkStart w:id="943" w:name="_Toc26670"/>
      <w:bookmarkStart w:id="944" w:name="_Toc11910"/>
      <w:r>
        <w:rPr>
          <w:rFonts w:hint="eastAsia"/>
        </w:rPr>
        <w:t>：网络安全科研工作需要改善的地方</w:t>
      </w:r>
      <w:bookmarkEnd w:id="935"/>
      <w:bookmarkEnd w:id="936"/>
      <w:bookmarkEnd w:id="937"/>
      <w:bookmarkEnd w:id="938"/>
      <w:bookmarkEnd w:id="939"/>
      <w:bookmarkEnd w:id="940"/>
      <w:bookmarkEnd w:id="941"/>
      <w:bookmarkEnd w:id="942"/>
      <w:bookmarkEnd w:id="943"/>
      <w:bookmarkEnd w:id="944"/>
    </w:p>
    <w:p>
      <w:pPr>
        <w:ind w:firstLine="0" w:firstLineChars="0"/>
      </w:pPr>
      <w:r>
        <w:rPr>
          <w:rFonts w:hint="eastAsia"/>
        </w:rPr>
        <w:t>（图表数据来源：从业人员版科技创新与人才培养专题第4题：您认为网络安全科研工作开展在哪些方面需要改善？）</w:t>
      </w:r>
    </w:p>
    <w:p>
      <w:pPr>
        <w:widowControl/>
        <w:adjustRightInd/>
        <w:snapToGrid/>
        <w:spacing w:line="240" w:lineRule="auto"/>
        <w:ind w:firstLine="0" w:firstLineChars="0"/>
        <w:jc w:val="left"/>
        <w:rPr>
          <w:rFonts w:ascii="黑体" w:hAnsi="黑体" w:eastAsia="黑体"/>
          <w:b/>
          <w:bCs/>
          <w:kern w:val="44"/>
          <w:sz w:val="28"/>
          <w:szCs w:val="28"/>
        </w:rPr>
      </w:pPr>
      <w:bookmarkStart w:id="945" w:name="_Hlk48650523"/>
    </w:p>
    <w:p>
      <w:r>
        <w:rPr>
          <w:rFonts w:hint="eastAsia"/>
        </w:rPr>
        <w:t>（5）网络安全方面的科研成果转化状况</w:t>
      </w:r>
    </w:p>
    <w:p>
      <w:r>
        <w:rPr>
          <w:rFonts w:hint="eastAsia"/>
        </w:rPr>
        <w:t>从业人员对网络安全方面的科研成果转化状况看法：9.79%从业人员认为非常满意、33.14%认为满意、46.61%认为一般、6.85%认为不满意、3.59%认为非常不满意。数据显示从业人员对科研成果转化评价中间或较好。</w:t>
      </w:r>
    </w:p>
    <w:p>
      <w:pPr>
        <w:ind w:firstLine="0" w:firstLineChars="0"/>
        <w:jc w:val="center"/>
      </w:pPr>
      <w:r>
        <w:drawing>
          <wp:inline distT="0" distB="0" distL="0" distR="0">
            <wp:extent cx="5116830" cy="2743200"/>
            <wp:effectExtent l="4445" t="4445" r="22225" b="14605"/>
            <wp:docPr id="479" name="图表 479"/>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pPr>
        <w:pStyle w:val="5"/>
        <w:jc w:val="center"/>
      </w:pPr>
      <w:bookmarkStart w:id="946" w:name="_Toc48815706"/>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82</w:t>
      </w:r>
      <w:r>
        <w:rPr>
          <w:rFonts w:hint="eastAsia"/>
        </w:rPr>
        <w:fldChar w:fldCharType="end"/>
      </w:r>
      <w:bookmarkStart w:id="947" w:name="_Toc22081"/>
      <w:bookmarkStart w:id="948" w:name="_Toc15321"/>
      <w:bookmarkStart w:id="949" w:name="_Toc28840"/>
      <w:bookmarkStart w:id="950" w:name="_Toc13947"/>
      <w:bookmarkStart w:id="951" w:name="_Toc6244"/>
      <w:bookmarkStart w:id="952" w:name="_Toc24116"/>
      <w:bookmarkStart w:id="953" w:name="_Toc30917"/>
      <w:bookmarkStart w:id="954" w:name="_Toc22299"/>
      <w:bookmarkStart w:id="955" w:name="_Toc28130"/>
      <w:r>
        <w:rPr>
          <w:rFonts w:hint="eastAsia"/>
        </w:rPr>
        <w:t>：网络安全方面的科研成果转化满意度评价</w:t>
      </w:r>
      <w:bookmarkEnd w:id="946"/>
      <w:bookmarkEnd w:id="947"/>
      <w:bookmarkEnd w:id="948"/>
      <w:bookmarkEnd w:id="949"/>
      <w:bookmarkEnd w:id="950"/>
      <w:bookmarkEnd w:id="951"/>
      <w:bookmarkEnd w:id="952"/>
      <w:bookmarkEnd w:id="953"/>
      <w:bookmarkEnd w:id="954"/>
      <w:bookmarkEnd w:id="955"/>
    </w:p>
    <w:p>
      <w:pPr>
        <w:ind w:firstLine="0" w:firstLineChars="0"/>
      </w:pPr>
      <w:r>
        <w:rPr>
          <w:rFonts w:hint="eastAsia"/>
        </w:rPr>
        <w:t>（图表数据来源：从业人员版科技创新与人才培养专题第5题：您对网络安全方面的科研成果转化状况是否满意？）</w:t>
      </w:r>
    </w:p>
    <w:bookmarkEnd w:id="945"/>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（5.1）网络安全方面的科研成果转化的问题</w:t>
      </w:r>
    </w:p>
    <w:p>
      <w:r>
        <w:rPr>
          <w:rFonts w:hint="eastAsia"/>
        </w:rPr>
        <w:t>从业人员对网络安全方面的科研成果转化存在问题的看法：1成果保护（关注度68.50%）、2政策支持（关注度60.62%）、3管理机制（关注度58.26%）、4市场渠道（关注度53.54%）、5保障服务（关注度48.</w:t>
      </w:r>
      <w:r>
        <w:t>8</w:t>
      </w:r>
      <w:r>
        <w:rPr>
          <w:rFonts w:hint="eastAsia"/>
        </w:rPr>
        <w:t>1%）。数据显示从业人员认为成果保护、政策支持、管理机制等方面需要改善。</w:t>
      </w:r>
    </w:p>
    <w:p>
      <w:pPr>
        <w:ind w:firstLine="0" w:firstLineChars="0"/>
        <w:jc w:val="center"/>
      </w:pPr>
      <w:r>
        <w:drawing>
          <wp:inline distT="0" distB="0" distL="0" distR="0">
            <wp:extent cx="5099050" cy="2743200"/>
            <wp:effectExtent l="4445" t="4445" r="20955" b="14605"/>
            <wp:docPr id="258" name="图表 258"/>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pPr>
        <w:pStyle w:val="5"/>
        <w:jc w:val="center"/>
      </w:pPr>
      <w:bookmarkStart w:id="956" w:name="_Toc48815707"/>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83</w:t>
      </w:r>
      <w:r>
        <w:rPr>
          <w:rFonts w:hint="eastAsia"/>
        </w:rPr>
        <w:fldChar w:fldCharType="end"/>
      </w:r>
      <w:bookmarkStart w:id="957" w:name="_Toc28846"/>
      <w:bookmarkStart w:id="958" w:name="_Toc27466"/>
      <w:bookmarkStart w:id="959" w:name="_Toc4871"/>
      <w:bookmarkStart w:id="960" w:name="_Toc22153"/>
      <w:bookmarkStart w:id="961" w:name="_Toc22687"/>
      <w:bookmarkStart w:id="962" w:name="_Toc5838"/>
      <w:bookmarkStart w:id="963" w:name="_Toc32055"/>
      <w:bookmarkStart w:id="964" w:name="_Toc30954"/>
      <w:bookmarkStart w:id="965" w:name="_Toc12453"/>
      <w:r>
        <w:rPr>
          <w:rFonts w:hint="eastAsia"/>
        </w:rPr>
        <w:t>：网络安全科研成果转化感到不满意的地方</w:t>
      </w:r>
      <w:bookmarkEnd w:id="956"/>
      <w:bookmarkEnd w:id="957"/>
      <w:bookmarkEnd w:id="958"/>
      <w:bookmarkEnd w:id="959"/>
      <w:bookmarkEnd w:id="960"/>
      <w:bookmarkEnd w:id="961"/>
      <w:bookmarkEnd w:id="962"/>
      <w:bookmarkEnd w:id="963"/>
      <w:bookmarkEnd w:id="964"/>
      <w:bookmarkEnd w:id="965"/>
    </w:p>
    <w:p>
      <w:pPr>
        <w:ind w:firstLine="0" w:firstLineChars="0"/>
      </w:pPr>
      <w:r>
        <w:rPr>
          <w:rFonts w:hint="eastAsia"/>
        </w:rPr>
        <w:t>（图表数据来源：从业人员版科技创新与人才培养专题第5.1题：您对以下哪些方面感到不满意？）</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（6）网络安全课程开设情况</w:t>
      </w:r>
    </w:p>
    <w:p>
      <w:r>
        <w:rPr>
          <w:rFonts w:hint="eastAsia"/>
        </w:rPr>
        <w:t>从业人员所在单位有关网络安全课程开设情况为：作为专业课程只在信息类学院开设最多（占比24.18%）、作为通识课程开设，属于选修课程次之（占比23.28%）、作为通识课程开设属于必修课程第三（占比17.91%）、没有开设的第四（有17.75%）。数据显示网络课程开设的比例一般，覆盖面不够广。</w:t>
      </w:r>
    </w:p>
    <w:p>
      <w:pPr>
        <w:ind w:firstLine="0" w:firstLineChars="0"/>
        <w:jc w:val="center"/>
      </w:pPr>
      <w:r>
        <w:drawing>
          <wp:inline distT="0" distB="0" distL="0" distR="0">
            <wp:extent cx="5222240" cy="2743200"/>
            <wp:effectExtent l="4445" t="4445" r="12065" b="14605"/>
            <wp:docPr id="262" name="图表 2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pPr>
        <w:pStyle w:val="5"/>
        <w:jc w:val="center"/>
      </w:pPr>
      <w:bookmarkStart w:id="966" w:name="_Toc48815708"/>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84</w:t>
      </w:r>
      <w:r>
        <w:rPr>
          <w:rFonts w:hint="eastAsia"/>
        </w:rPr>
        <w:fldChar w:fldCharType="end"/>
      </w:r>
      <w:bookmarkStart w:id="967" w:name="_Toc2476"/>
      <w:bookmarkStart w:id="968" w:name="_Toc20556"/>
      <w:bookmarkStart w:id="969" w:name="_Toc7940"/>
      <w:bookmarkStart w:id="970" w:name="_Toc10124"/>
      <w:bookmarkStart w:id="971" w:name="_Toc9258"/>
      <w:bookmarkStart w:id="972" w:name="_Toc25473"/>
      <w:bookmarkStart w:id="973" w:name="_Toc31921"/>
      <w:bookmarkStart w:id="974" w:name="_Toc3468"/>
      <w:bookmarkStart w:id="975" w:name="_Toc5515"/>
      <w:r>
        <w:rPr>
          <w:rFonts w:hint="eastAsia"/>
        </w:rPr>
        <w:t>：所在单位有关网络安全的课程开设情况</w:t>
      </w:r>
      <w:bookmarkEnd w:id="966"/>
      <w:bookmarkEnd w:id="967"/>
      <w:bookmarkEnd w:id="968"/>
      <w:bookmarkEnd w:id="969"/>
      <w:bookmarkEnd w:id="970"/>
      <w:bookmarkEnd w:id="971"/>
      <w:bookmarkEnd w:id="972"/>
      <w:bookmarkEnd w:id="973"/>
      <w:bookmarkEnd w:id="974"/>
      <w:bookmarkEnd w:id="975"/>
    </w:p>
    <w:p>
      <w:pPr>
        <w:ind w:firstLine="0" w:firstLineChars="0"/>
      </w:pPr>
      <w:r>
        <w:rPr>
          <w:rFonts w:hint="eastAsia"/>
        </w:rPr>
        <w:t>（图表数据来源：从业人员版科技创新与人才培养专题第6题：您所在单位开设了关于网络安全的课程吗？）</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（7）网络安全专业人才评价和队伍建设</w:t>
      </w:r>
    </w:p>
    <w:p>
      <w:r>
        <w:rPr>
          <w:rFonts w:hint="eastAsia"/>
        </w:rPr>
        <w:t>有</w:t>
      </w:r>
      <w:bookmarkStart w:id="976" w:name="_Hlk48723912"/>
      <w:r>
        <w:rPr>
          <w:rFonts w:hint="eastAsia"/>
        </w:rPr>
        <w:t>关网络安全专业人才评价和队伍建设方面的问题，关注度排在前5名的是：1职称不完善、晋升渠道不畅（59%）、2实训环境不足（55.82%）、3继续教育流于形式（50.69%）、4专业不对口（48%）、5任职资格管理不完善（47.84%）。</w:t>
      </w:r>
      <w:bookmarkEnd w:id="976"/>
      <w:r>
        <w:rPr>
          <w:rFonts w:hint="eastAsia"/>
        </w:rPr>
        <w:t>数据显示从业人员对网络安全专业人才职业发展和培养存在的问题比较关注。</w:t>
      </w:r>
      <w:r>
        <w:drawing>
          <wp:inline distT="0" distB="0" distL="0" distR="0">
            <wp:extent cx="5086350" cy="2743200"/>
            <wp:effectExtent l="4445" t="4445" r="14605" b="14605"/>
            <wp:docPr id="269" name="图表 2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pPr>
        <w:pStyle w:val="5"/>
        <w:jc w:val="center"/>
        <w:rPr>
          <w:sz w:val="21"/>
        </w:rPr>
      </w:pPr>
      <w:bookmarkStart w:id="977" w:name="_Toc48815709"/>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85</w:t>
      </w:r>
      <w:r>
        <w:rPr>
          <w:rFonts w:hint="eastAsia"/>
        </w:rPr>
        <w:fldChar w:fldCharType="end"/>
      </w:r>
      <w:bookmarkStart w:id="978" w:name="_Toc26726"/>
      <w:bookmarkStart w:id="979" w:name="_Toc12055"/>
      <w:bookmarkStart w:id="980" w:name="_Toc6005"/>
      <w:bookmarkStart w:id="981" w:name="_Toc4944"/>
      <w:bookmarkStart w:id="982" w:name="_Toc25072"/>
      <w:bookmarkStart w:id="983" w:name="_Toc30629"/>
      <w:bookmarkStart w:id="984" w:name="_Toc12512"/>
      <w:bookmarkStart w:id="985" w:name="_Toc4308"/>
      <w:bookmarkStart w:id="986" w:name="_Toc13340"/>
      <w:r>
        <w:rPr>
          <w:rFonts w:hint="eastAsia"/>
        </w:rPr>
        <w:t>：网络安全专业人才评价和队伍建设存在的问题</w:t>
      </w:r>
      <w:bookmarkEnd w:id="977"/>
      <w:bookmarkEnd w:id="978"/>
      <w:bookmarkEnd w:id="979"/>
      <w:bookmarkEnd w:id="980"/>
      <w:bookmarkEnd w:id="981"/>
      <w:bookmarkEnd w:id="982"/>
      <w:bookmarkEnd w:id="983"/>
      <w:bookmarkEnd w:id="984"/>
      <w:bookmarkEnd w:id="985"/>
      <w:bookmarkEnd w:id="986"/>
    </w:p>
    <w:p>
      <w:pPr>
        <w:ind w:firstLine="0" w:firstLineChars="0"/>
        <w:rPr>
          <w:rFonts w:ascii="黑体" w:hAnsi="黑体" w:eastAsia="黑体"/>
          <w:b/>
          <w:bCs/>
          <w:kern w:val="44"/>
          <w:sz w:val="28"/>
          <w:szCs w:val="28"/>
        </w:rPr>
      </w:pPr>
      <w:r>
        <w:rPr>
          <w:rFonts w:hint="eastAsia"/>
        </w:rPr>
        <w:t>（图表数据来源：从业人员版科技创新与人才培养专题第7题：您认为网络安全专业人才评价和队伍建设方面存在哪些问题？）</w:t>
      </w:r>
    </w:p>
    <w:p>
      <w:pPr>
        <w:ind w:firstLine="640"/>
        <w:rPr>
          <w:rFonts w:ascii="宋体" w:hAnsi="宋体" w:eastAsia="宋体"/>
          <w:color w:val="FF0000"/>
          <w:sz w:val="32"/>
          <w:szCs w:val="32"/>
        </w:rPr>
      </w:pPr>
      <w:bookmarkStart w:id="987" w:name="_Toc24836916"/>
      <w:bookmarkStart w:id="988" w:name="_Toc24490106"/>
      <w:bookmarkStart w:id="989" w:name="_Toc24837917"/>
      <w:r>
        <w:rPr>
          <w:rFonts w:hint="eastAsia" w:ascii="宋体" w:hAnsi="宋体" w:eastAsia="宋体"/>
          <w:color w:val="FF0000"/>
          <w:sz w:val="32"/>
          <w:szCs w:val="32"/>
        </w:rPr>
        <w:br w:type="page"/>
      </w:r>
    </w:p>
    <w:bookmarkEnd w:id="987"/>
    <w:bookmarkEnd w:id="988"/>
    <w:bookmarkEnd w:id="989"/>
    <w:p>
      <w:pPr>
        <w:pStyle w:val="2"/>
      </w:pPr>
      <w:bookmarkStart w:id="990" w:name="_Toc5168"/>
      <w:r>
        <w:rPr>
          <w:rFonts w:hint="eastAsia"/>
        </w:rPr>
        <w:t>附件一：调查方法与数据样本情况</w:t>
      </w:r>
      <w:bookmarkEnd w:id="990"/>
    </w:p>
    <w:p>
      <w:bookmarkStart w:id="991" w:name="_Toc19203354"/>
      <w:bookmarkStart w:id="992" w:name="_Toc19207435"/>
      <w:r>
        <w:rPr>
          <w:rFonts w:hint="eastAsia"/>
        </w:rPr>
        <w:t>一、背景</w:t>
      </w:r>
      <w:bookmarkEnd w:id="991"/>
      <w:bookmarkEnd w:id="992"/>
    </w:p>
    <w:p>
      <w:pPr>
        <w:pStyle w:val="22"/>
        <w:ind w:firstLine="480"/>
      </w:pPr>
      <w:r>
        <w:rPr>
          <w:rFonts w:hint="eastAsia"/>
        </w:rPr>
        <w:t>为贯彻习近平总书记有关“网络安全为人民、网络安全靠人民”等网络强国的重要思想，进一步落实《网络安全法》及相关法律法规，增强网民的网络安全意识和防范能力，促进互联网企业履行社会责任意识和能力的提高，提升网民网络安全感和满意度，最大限度调动网民参与网络生态社会治理的自觉性和主动性，助力政府相关部门积极探索网络治理规律，提高网络治理成效，由公安部网络安全保卫局指导，全国135家网络安全行业协会及相关社会组织联合发起了2020网民网络安全感满意度调查活动。</w:t>
      </w:r>
    </w:p>
    <w:p/>
    <w:p>
      <w:bookmarkStart w:id="993" w:name="_Toc19207436"/>
      <w:bookmarkStart w:id="994" w:name="_Toc19203355"/>
      <w:r>
        <w:rPr>
          <w:rFonts w:hint="eastAsia"/>
        </w:rPr>
        <w:t>二、目的</w:t>
      </w:r>
      <w:bookmarkEnd w:id="993"/>
      <w:bookmarkEnd w:id="994"/>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pStyle w:val="22"/>
        <w:ind w:firstLine="480"/>
      </w:pPr>
      <w:r>
        <w:rPr>
          <w:rFonts w:hint="eastAsia"/>
        </w:rPr>
        <w:t>开展网民安全感满意度调查活动的具体目的有以下几点：</w:t>
      </w:r>
    </w:p>
    <w:p>
      <w:pPr>
        <w:pStyle w:val="22"/>
        <w:ind w:firstLine="480"/>
      </w:pPr>
      <w:r>
        <w:rPr>
          <w:rFonts w:hint="eastAsia"/>
        </w:rPr>
        <w:t>（1）通过广泛收集广大群众上网用网过程中对网络公共秩序、安全环境的真实感受和评价，科学反映我国网络治理成效和网络安全现状，为政府部门决策提供数据支持。为公安机关加强互联网安全监管和打击网络违法犯罪提供指引。</w:t>
      </w:r>
    </w:p>
    <w:p>
      <w:pPr>
        <w:pStyle w:val="22"/>
        <w:ind w:firstLine="480"/>
      </w:pPr>
      <w:r>
        <w:rPr>
          <w:rFonts w:hint="eastAsia"/>
        </w:rPr>
        <w:t>（2）通过发挥社会组织的桥梁作用，调动社会各方力量，广泛发动广大网络用户积极参与，齐心协力，贡献智慧，共建良好网络生态，共筑网络安全屏障。</w:t>
      </w:r>
    </w:p>
    <w:p>
      <w:pPr>
        <w:pStyle w:val="22"/>
        <w:ind w:firstLine="480"/>
      </w:pPr>
      <w:r>
        <w:rPr>
          <w:rFonts w:hint="eastAsia"/>
        </w:rPr>
        <w:t>（3）通过不断收集和积累网民网络安全感满意度数据，形成庞大的数据库，为满意度研究和各种数据分析挖掘研究提供数据基础，建立和优化网民网络安全感满意度评价模型，推动网民网络安全感满意的量化研究向前发展。</w:t>
      </w:r>
      <w:r>
        <w:rPr>
          <w:rFonts w:hint="eastAsia"/>
          <w:sz w:val="26"/>
          <w:szCs w:val="26"/>
        </w:rPr>
        <w:br w:type="textWrapping"/>
      </w:r>
    </w:p>
    <w:p>
      <w:bookmarkStart w:id="995" w:name="_Toc19207437"/>
      <w:bookmarkStart w:id="996" w:name="_Toc19203356"/>
      <w:r>
        <w:rPr>
          <w:rFonts w:hint="eastAsia"/>
        </w:rPr>
        <w:t>三、调查方式</w:t>
      </w:r>
      <w:bookmarkEnd w:id="995"/>
      <w:bookmarkEnd w:id="996"/>
    </w:p>
    <w:p>
      <w:r>
        <w:rPr>
          <w:rFonts w:hint="eastAsia"/>
        </w:rPr>
        <w:t>（1）调查时间</w:t>
      </w:r>
    </w:p>
    <w:p>
      <w:r>
        <w:rPr>
          <w:rFonts w:hint="eastAsia"/>
        </w:rPr>
        <w:t>2020年6月，以“网络安全为人民， 网络安全靠人民”为活动主题的2020网民网络安全感满意度调查活动正式启动。2020年7月22日正式上线采集数据。到2020年7月31日24点结束采集。采集的时间段为10天。</w:t>
      </w:r>
    </w:p>
    <w:p>
      <w:r>
        <w:rPr>
          <w:rFonts w:hint="eastAsia"/>
        </w:rPr>
        <w:t>（2）调查对象</w:t>
      </w:r>
    </w:p>
    <w:p>
      <w:r>
        <w:rPr>
          <w:rFonts w:hint="eastAsia"/>
        </w:rPr>
        <w:t>本次调查对象分为两类：一类是普通网民，另外一类是网络行业从业人员。普通网民主要面向在中国境内有上网经验，熟悉中国互联网情况的互联网使用者。他们的意见主要体现互联网普通用户的感受。网络行业从业人员主要面向在网络行业工作人员，其工作单位或工作岗位和互联网有关，包括互联网企业、网络安全产品与服务的提供者、网络安全协会、政府主管部门、企事业单位、网络安全的学校和科研机构、一般的互联网用户等。网络行业从业人员对互联网的状态比较了解，是网络安全治理中主要的参与者、服务提供者和服务利用者。他们的意见体现了网络安全治理中关系密切的各类利益群体和专业人士的观点。</w:t>
      </w:r>
    </w:p>
    <w:p>
      <w:r>
        <w:rPr>
          <w:rFonts w:hint="eastAsia"/>
        </w:rPr>
        <w:t>两类调查对象的意见的综合可以较为全面地反映各类网民的真实感受，为数据采集、分析提供坚实的基础。</w:t>
      </w:r>
    </w:p>
    <w:p>
      <w:r>
        <w:rPr>
          <w:rFonts w:hint="eastAsia"/>
        </w:rPr>
        <w:t>（3）调查内容</w:t>
      </w:r>
    </w:p>
    <w:p>
      <w:r>
        <w:rPr>
          <w:rFonts w:hint="eastAsia"/>
        </w:rPr>
        <w:t>本次网民网民网络安全感满意度调查内容丰富，以问卷的形式提出了225道题（小题），内容涵盖个2个主问卷、12大专题领域。调查问卷按访问对象不同分两类问卷：面向普通网民的公众版和面向网络行业人员的从业人员版问卷</w:t>
      </w:r>
    </w:p>
    <w:p>
      <w:r>
        <w:rPr>
          <w:rFonts w:hint="eastAsia"/>
        </w:rPr>
        <w:t>公众版的调查问卷除了以共性问题为主的主问卷外，还根据内容主题的不同分了8个专题问卷，具体名称如下：</w:t>
      </w:r>
    </w:p>
    <w:p>
      <w:r>
        <w:rPr>
          <w:rFonts w:hint="eastAsia"/>
        </w:rPr>
        <w:t>专题1问卷：网络安全法治社会建设专题</w:t>
      </w:r>
    </w:p>
    <w:p>
      <w:r>
        <w:rPr>
          <w:rFonts w:hint="eastAsia"/>
        </w:rPr>
        <w:t>专题2问卷：遏制网络违法犯罪行为专题</w:t>
      </w:r>
    </w:p>
    <w:p>
      <w:r>
        <w:rPr>
          <w:rFonts w:hint="eastAsia"/>
        </w:rPr>
        <w:t>专题3问卷：个人信息保护专题</w:t>
      </w:r>
    </w:p>
    <w:p>
      <w:r>
        <w:rPr>
          <w:rFonts w:hint="eastAsia"/>
        </w:rPr>
        <w:t>专题4问卷：网络购物安全权益保护专题</w:t>
      </w:r>
    </w:p>
    <w:p>
      <w:r>
        <w:rPr>
          <w:rFonts w:hint="eastAsia"/>
        </w:rPr>
        <w:t>专题5问卷：未成年人网络权益保护专题</w:t>
      </w:r>
    </w:p>
    <w:p>
      <w:r>
        <w:rPr>
          <w:rFonts w:hint="eastAsia"/>
        </w:rPr>
        <w:t>专题6问卷：互联网平台监管与企业自律专题</w:t>
      </w:r>
    </w:p>
    <w:p>
      <w:r>
        <w:rPr>
          <w:rFonts w:hint="eastAsia"/>
        </w:rPr>
        <w:t>专题7问卷：数字政府服务与治理能力提升专题</w:t>
      </w:r>
    </w:p>
    <w:p>
      <w:r>
        <w:rPr>
          <w:rFonts w:hint="eastAsia"/>
        </w:rPr>
        <w:t>专题8问卷：新冠疫情的影响和应对专题</w:t>
      </w:r>
    </w:p>
    <w:p>
      <w:r>
        <w:rPr>
          <w:rFonts w:hint="eastAsia"/>
        </w:rPr>
        <w:t>从业人员版的调查问卷除了以共性问题为主的主问卷外，还根据内容主题的不同分为A到D共4个专题问卷，具体名称如下：</w:t>
      </w:r>
    </w:p>
    <w:p>
      <w:r>
        <w:rPr>
          <w:rFonts w:hint="eastAsia"/>
        </w:rPr>
        <w:t>A专题问卷：等级保护实施与企业合规专题</w:t>
      </w:r>
    </w:p>
    <w:p>
      <w:r>
        <w:rPr>
          <w:rFonts w:hint="eastAsia"/>
        </w:rPr>
        <w:t>B专题问卷：行业发展与生态建设专题</w:t>
      </w:r>
    </w:p>
    <w:p>
      <w:r>
        <w:rPr>
          <w:rFonts w:hint="eastAsia"/>
        </w:rPr>
        <w:t>C专题问卷：新技术应用与网络安全专题</w:t>
      </w:r>
    </w:p>
    <w:p>
      <w:r>
        <w:rPr>
          <w:rFonts w:hint="eastAsia"/>
        </w:rPr>
        <w:t>D专题问卷：科技创新与人才培养专题。</w:t>
      </w:r>
    </w:p>
    <w:p>
      <w:r>
        <w:rPr>
          <w:rFonts w:hint="eastAsia"/>
        </w:rPr>
        <w:t>本次调查问卷的设计以网络安全感满意指标体系为框架，以网民对网络安全的认知、需求、感受与评价为主线，针对相关政府主管部门、互联网企业、安全产品服务供应商、协会、科研机构、一般联网使用单位及网民自身在网络安全建设中的角色、职责、执行情况及其产生的效果设计调查问题。</w:t>
      </w:r>
    </w:p>
    <w:p>
      <w:r>
        <w:rPr>
          <w:rFonts w:hint="eastAsia"/>
        </w:rPr>
        <w:t>除了一般的选择题外，问卷还设立了11道征求意见的填空题，以开放的形式让网民畅所欲言，以求充分收集网民的意见。</w:t>
      </w:r>
    </w:p>
    <w:p>
      <w:r>
        <w:rPr>
          <w:rFonts w:hint="eastAsia"/>
        </w:rPr>
        <w:t>（4）调查形式</w:t>
      </w:r>
    </w:p>
    <w:p>
      <w:r>
        <w:rPr>
          <w:rFonts w:hint="eastAsia"/>
        </w:rPr>
        <w:t>由于疫情防控需要，本次调查形式为线上方式。全国统一部署，各省分别组织落实，企业机构参与，网民自愿参加。</w:t>
      </w:r>
    </w:p>
    <w:p>
      <w:r>
        <w:rPr>
          <w:rFonts w:hint="eastAsia"/>
        </w:rPr>
        <w:t>线上方式主要是依托在基于云平台问卷调查云服务，建立2019网民网络安全感满意调查服务门户和相应的网上问卷调查应用，同时支持两份公众版和从业人员版调查问卷的数据采集，提供手机和PC两个渠道，支持二维码扫描分享。利用组委会微信公众号和各合作单位以及支持单位的信息服务商门户进行推广，取得良好的效果。</w:t>
      </w:r>
    </w:p>
    <w:p>
      <w:r>
        <w:rPr>
          <w:rFonts w:hint="eastAsia"/>
        </w:rPr>
        <w:t>（5）调查组织</w:t>
      </w:r>
    </w:p>
    <w:p>
      <w:r>
        <w:rPr>
          <w:rFonts w:hint="eastAsia"/>
        </w:rPr>
        <w:t>指导单位公安部网络安全保卫局对调查活动给予了大力支持。领导高度重视，明确目标，指导把关，积极推动，狠抓落实，成效显著。</w:t>
      </w:r>
    </w:p>
    <w:p>
      <w:r>
        <w:rPr>
          <w:rFonts w:hint="eastAsia"/>
        </w:rPr>
        <w:t>在指导单位的关心和指导下，为加强对调查活动的组织领导，活动发起单位组建了强有力的组织机构，机构分为领导小组、活动组委会（秘书处）和专家组等。</w:t>
      </w:r>
    </w:p>
    <w:p>
      <w:r>
        <w:rPr>
          <w:rFonts w:hint="eastAsia"/>
        </w:rPr>
        <w:t>领导小组由指导单位公安部网络安全保卫局、各级有关主管部门，发起单位网安联主要领导组成，负责调查活动重大事项的决策。</w:t>
      </w:r>
    </w:p>
    <w:p>
      <w:r>
        <w:rPr>
          <w:rFonts w:hint="eastAsia"/>
        </w:rPr>
        <w:t>活动组委会由各发起单位的主要领导组成，负责活动的组织工作，有关活动事项的组织实施。下设秘书处。秘书处负责日常办公事务处理和对外联系和活动的组织协调。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专家组由国家及地方相关领域的专家、学者组成，负责审查及评价调查设计、调查过程的科学性、客观性和真实性。</w:t>
      </w:r>
    </w:p>
    <w:p>
      <w:r>
        <w:rPr>
          <w:rFonts w:hint="eastAsia"/>
        </w:rPr>
        <w:t>活动的组织分为前期策划、问卷设计、组织发动、调查实施、数据分析与报告编制、成果发布与总结表彰等几个阶段。</w:t>
      </w:r>
    </w:p>
    <w:p>
      <w:r>
        <w:rPr>
          <w:rFonts w:hint="eastAsia"/>
        </w:rPr>
        <w:t>各地发起单位和协会按照组委会的统一部署和要求开展工作，一是协调所在地互联网企业组织员工参与调查活动。最大限度地协调所在地互联网企业组织员工参与调查活动，确保调查活动有针对性、合理性、科学性地开展；二是组织协调所在地商业门户网站、新媒体网络平台、中央（地方）重点新闻门户网站等参与调查活动。充分发挥这些网络平台在本地影响力大、覆盖面广、粉丝量多的特点，通过一定的推广合作和激励机制，最大限度地吸引网民在线上参与调查，确保调查活动的广泛性、代表性；三是负责跟进本地样本量的完成情况，确保按量保质完成数据采集工作。</w:t>
      </w:r>
    </w:p>
    <w:p>
      <w:r>
        <w:rPr>
          <w:rFonts w:hint="eastAsia"/>
        </w:rPr>
        <w:t>在领导小组、组委会、专家小组和各地参与发动单位的共同努力下，本次调查活动，按既定计划推进，采集了大量的网民数据，本次调查活动问卷收回总量为150.3168万份，其中，公众网民版124.3251万份，网络从业人员版25.9912万份。数据的采集量比上一年度幅度增长6~7倍，活动取得圆满成功。</w:t>
      </w:r>
    </w:p>
    <w:p/>
    <w:p>
      <w:bookmarkStart w:id="997" w:name="_Toc19207438"/>
      <w:bookmarkStart w:id="998" w:name="_Toc19203357"/>
      <w:r>
        <w:rPr>
          <w:rFonts w:hint="eastAsia"/>
        </w:rPr>
        <w:t>四、调查数据的有效性</w:t>
      </w:r>
      <w:bookmarkEnd w:id="997"/>
      <w:bookmarkEnd w:id="998"/>
    </w:p>
    <w:p>
      <w:r>
        <w:rPr>
          <w:rFonts w:hint="eastAsia"/>
        </w:rPr>
        <w:t>根据本次调查活动收集的数据情况来看有以下特点：</w:t>
      </w:r>
    </w:p>
    <w:p>
      <w:pPr>
        <w:pStyle w:val="22"/>
        <w:numPr>
          <w:ilvl w:val="0"/>
          <w:numId w:val="1"/>
        </w:numPr>
        <w:ind w:left="0" w:firstLine="426" w:firstLineChars="0"/>
      </w:pPr>
      <w:r>
        <w:rPr>
          <w:rFonts w:hint="eastAsia"/>
        </w:rPr>
        <w:t>调查数据总大</w:t>
      </w:r>
    </w:p>
    <w:p>
      <w:r>
        <w:rPr>
          <w:rFonts w:hint="eastAsia"/>
        </w:rPr>
        <w:t>本次调查活动问卷收回总量为150.3168万份。经过数据清洗后，有效样本数据总数为149.0304万份，其中，公众网民版123.1455万份，网络从业人员版25.8849万份。另外，调查活动还收到网民对我国网络安全建设提出的意见和建议共16.4347万条。本次调查活动受到网民的热烈响应，参与人数多，采集的数据样本的规模大，样本数据的总体质量比较好。</w:t>
      </w:r>
    </w:p>
    <w:p>
      <w:r>
        <w:rPr>
          <w:rFonts w:hint="eastAsia"/>
        </w:rPr>
        <w:t>2）调查数据来源分布广泛</w:t>
      </w:r>
    </w:p>
    <w:p>
      <w:r>
        <w:rPr>
          <w:rFonts w:hint="eastAsia"/>
        </w:rPr>
        <w:t>从调查数据来源来看，从业人员数据的分布广泛，全国34个省、直辖市、自治区（包括港澳台）均有数据，其中2个省的数据量超过5万，6个省数据量过万，27个省的数量超过1千。</w:t>
      </w:r>
    </w:p>
    <w:p>
      <w:r>
        <w:rPr>
          <w:rFonts w:hint="eastAsia"/>
        </w:rPr>
        <w:t>3）调查数据分布比较均匀</w:t>
      </w:r>
    </w:p>
    <w:p>
      <w:r>
        <w:rPr>
          <w:rFonts w:hint="eastAsia"/>
        </w:rPr>
        <w:t>从调查数据来源来看，数据的分布较广泛，全国多个省市都有一定数量的样本数据分布，样本分布比较均匀。</w:t>
      </w:r>
    </w:p>
    <w:p>
      <w:r>
        <w:rPr>
          <w:rFonts w:hint="eastAsia"/>
        </w:rPr>
        <w:t xml:space="preserve">从以上分析，本次问卷调查数据的样本基本符合网民的分布的主要特性，具有一定的代表性。   </w:t>
      </w:r>
    </w:p>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eastAsia="黑体" w:cstheme="minorHAnsi"/>
          <w:b/>
          <w:bCs/>
          <w:kern w:val="44"/>
          <w:sz w:val="28"/>
          <w:szCs w:val="28"/>
        </w:rPr>
      </w:pPr>
      <w:r>
        <w:rPr>
          <w:rFonts w:cstheme="minorHAnsi"/>
        </w:rPr>
        <w:br w:type="page"/>
      </w:r>
    </w:p>
    <w:p>
      <w:pPr>
        <w:pStyle w:val="2"/>
        <w:rPr>
          <w:rFonts w:eastAsia="宋体" w:asciiTheme="minorHAnsi" w:hAnsiTheme="minorHAnsi" w:cstheme="minorHAnsi"/>
          <w:sz w:val="32"/>
          <w:szCs w:val="32"/>
        </w:rPr>
      </w:pPr>
      <w:bookmarkStart w:id="999" w:name="_Toc50902728"/>
      <w:bookmarkStart w:id="1000" w:name="_Toc50885002"/>
      <w:bookmarkStart w:id="1001" w:name="_Toc18255"/>
      <w:r>
        <w:rPr>
          <w:rFonts w:hint="eastAsia" w:eastAsia="宋体" w:asciiTheme="minorHAnsi" w:hAnsiTheme="minorHAnsi" w:cstheme="minorHAnsi"/>
          <w:sz w:val="32"/>
          <w:szCs w:val="32"/>
        </w:rPr>
        <w:t>附件二：调查报告致谢词</w:t>
      </w:r>
      <w:bookmarkEnd w:id="999"/>
      <w:bookmarkEnd w:id="1000"/>
      <w:bookmarkEnd w:id="1001"/>
    </w:p>
    <w:p>
      <w:pPr>
        <w:widowControl/>
        <w:adjustRightInd/>
        <w:snapToGrid/>
        <w:spacing w:line="240" w:lineRule="auto"/>
        <w:ind w:firstLine="0" w:firstLineChars="0"/>
        <w:jc w:val="left"/>
        <w:rPr>
          <w:rFonts w:eastAsia="宋体" w:cstheme="minorHAnsi"/>
          <w:b/>
          <w:bCs/>
          <w:color w:val="FF0000"/>
          <w:kern w:val="44"/>
          <w:sz w:val="32"/>
          <w:szCs w:val="32"/>
        </w:rPr>
      </w:pPr>
    </w:p>
    <w:p>
      <w:pPr>
        <w:widowControl/>
        <w:adjustRightInd/>
        <w:snapToGrid/>
        <w:spacing w:line="240" w:lineRule="auto"/>
        <w:ind w:firstLine="0" w:firstLineChars="0"/>
        <w:jc w:val="center"/>
        <w:rPr>
          <w:rFonts w:eastAsia="宋体" w:cstheme="minorHAnsi"/>
          <w:b/>
          <w:bCs/>
          <w:kern w:val="44"/>
          <w:sz w:val="36"/>
          <w:szCs w:val="36"/>
        </w:rPr>
      </w:pPr>
      <w:r>
        <w:rPr>
          <w:rFonts w:hint="eastAsia" w:eastAsia="宋体" w:cstheme="minorHAnsi"/>
          <w:b/>
          <w:bCs/>
          <w:kern w:val="44"/>
          <w:sz w:val="36"/>
          <w:szCs w:val="36"/>
        </w:rPr>
        <w:t>致谢</w:t>
      </w:r>
    </w:p>
    <w:p>
      <w:pPr>
        <w:widowControl/>
        <w:adjustRightInd/>
        <w:snapToGrid/>
        <w:spacing w:line="240" w:lineRule="auto"/>
        <w:ind w:firstLine="0" w:firstLineChars="0"/>
        <w:jc w:val="center"/>
        <w:rPr>
          <w:rFonts w:eastAsia="宋体" w:cstheme="minorHAnsi"/>
          <w:b/>
          <w:bCs/>
          <w:kern w:val="44"/>
          <w:sz w:val="32"/>
          <w:szCs w:val="32"/>
        </w:rPr>
      </w:pPr>
    </w:p>
    <w:p>
      <w:pPr>
        <w:widowControl/>
        <w:adjustRightInd/>
        <w:snapToGrid/>
        <w:ind w:firstLine="0" w:firstLineChars="0"/>
        <w:jc w:val="left"/>
        <w:rPr>
          <w:rFonts w:asciiTheme="minorEastAsia" w:hAnsiTheme="minorEastAsia" w:cstheme="minorHAnsi"/>
          <w:kern w:val="44"/>
          <w:sz w:val="32"/>
          <w:szCs w:val="32"/>
        </w:rPr>
      </w:pPr>
      <w:r>
        <w:rPr>
          <w:rFonts w:eastAsia="宋体" w:cstheme="minorHAnsi"/>
          <w:b/>
          <w:bCs/>
          <w:kern w:val="44"/>
          <w:sz w:val="32"/>
          <w:szCs w:val="32"/>
        </w:rPr>
        <w:t xml:space="preserve">   </w:t>
      </w:r>
      <w:r>
        <w:rPr>
          <w:rFonts w:asciiTheme="minorEastAsia" w:hAnsiTheme="minorEastAsia" w:cstheme="minorHAnsi"/>
          <w:kern w:val="44"/>
          <w:sz w:val="32"/>
          <w:szCs w:val="32"/>
        </w:rPr>
        <w:t xml:space="preserve"> 2020</w:t>
      </w:r>
      <w:r>
        <w:rPr>
          <w:rFonts w:hint="eastAsia" w:asciiTheme="minorEastAsia" w:hAnsiTheme="minorEastAsia" w:cstheme="minorHAnsi"/>
          <w:kern w:val="44"/>
          <w:sz w:val="32"/>
          <w:szCs w:val="32"/>
        </w:rPr>
        <w:t>年网民网络安全感满意度调查活动已顺利完成，在指导单位公安部网络安全保卫局大力指导和支持下，在参与各位的共同努力下调查活动取得完满成功。调查活动结果经统计分析形成了本调查报告。调查报告的编制得到有关各方的指导和支持，报告编制组对有关参与各方的机构和人员表示衷心感谢。</w:t>
      </w:r>
    </w:p>
    <w:p>
      <w:pPr>
        <w:widowControl/>
        <w:adjustRightInd/>
        <w:snapToGrid/>
        <w:ind w:firstLine="0" w:firstLineChars="0"/>
        <w:jc w:val="left"/>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感谢指导单位、发起单位、联合发起单位、组委会的组织指导（名单参看附件三、四）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感谢各牵头实施单位、承办单位、技术支撑单位的付出和贡献（名单参看附件四）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感谢新闻媒体、支持企业和机构的大力支持和配合（名单参看附件四）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感谢参与调查活动的各位专家、研究人员、技术人员和工作人员的辛勤劳动</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感谢参与调查活动的公众网民和从业人员的积极参与</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w:t>
      </w:r>
      <w:r>
        <w:rPr>
          <w:rFonts w:hint="eastAsia" w:asciiTheme="minorEastAsia" w:hAnsiTheme="minorEastAsia" w:cstheme="minorHAnsi"/>
          <w:kern w:val="44"/>
          <w:sz w:val="32"/>
          <w:szCs w:val="32"/>
        </w:rPr>
        <w:t>网民网络安全感满意度调查报告编制组</w:t>
      </w: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2020年9</w:t>
      </w:r>
      <w:r>
        <w:rPr>
          <w:rFonts w:hint="eastAsia" w:asciiTheme="minorEastAsia" w:hAnsiTheme="minorEastAsia" w:cstheme="minorHAnsi"/>
          <w:kern w:val="44"/>
          <w:sz w:val="32"/>
          <w:szCs w:val="32"/>
        </w:rPr>
        <w:t>月</w:t>
      </w:r>
    </w:p>
    <w:p>
      <w:pPr>
        <w:pStyle w:val="2"/>
        <w:rPr>
          <w:rFonts w:ascii="宋体" w:hAnsi="宋体" w:eastAsia="宋体"/>
          <w:sz w:val="32"/>
          <w:szCs w:val="32"/>
        </w:rPr>
      </w:pPr>
      <w:bookmarkStart w:id="1002" w:name="_Toc10942"/>
      <w:bookmarkStart w:id="1003" w:name="_Toc50902729"/>
      <w:r>
        <w:rPr>
          <w:rFonts w:hint="eastAsia" w:ascii="宋体" w:hAnsi="宋体" w:eastAsia="宋体"/>
          <w:sz w:val="32"/>
          <w:szCs w:val="32"/>
        </w:rPr>
        <w:t>附件三：调查活动指导单位、联合发起单位和组委会名单</w:t>
      </w:r>
      <w:bookmarkEnd w:id="1002"/>
      <w:bookmarkEnd w:id="1003"/>
    </w:p>
    <w:p>
      <w:pPr>
        <w:spacing w:before="120" w:beforeLines="50" w:after="120" w:afterLines="50"/>
        <w:ind w:firstLine="643"/>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r>
        <w:rPr>
          <w:rFonts w:hint="eastAsia" w:ascii="宋体" w:hAnsi="宋体" w:eastAsia="宋体"/>
          <w:b/>
          <w:bCs/>
          <w:sz w:val="32"/>
          <w:szCs w:val="28"/>
        </w:rPr>
        <w:t>（一）指导单位</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公安部网络安全保卫局</w:t>
      </w: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r>
        <w:rPr>
          <w:rFonts w:hint="eastAsia" w:ascii="宋体" w:hAnsi="宋体" w:eastAsia="宋体"/>
          <w:b/>
          <w:bCs/>
          <w:sz w:val="32"/>
          <w:szCs w:val="28"/>
        </w:rPr>
        <w:t>（二）发起单位</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全国135家网络安全行业协会及相关社会组织（参看附件四）</w:t>
      </w: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r>
        <w:rPr>
          <w:rFonts w:hint="eastAsia" w:ascii="宋体" w:hAnsi="宋体" w:eastAsia="宋体"/>
          <w:b/>
          <w:bCs/>
          <w:sz w:val="32"/>
          <w:szCs w:val="28"/>
        </w:rPr>
        <w:t>（三）联合发起单位</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北京大学</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中国互联网协会</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中国电子技术标准化研究院</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国家计算机病毒应急处理中心</w:t>
      </w:r>
    </w:p>
    <w:p>
      <w:pPr>
        <w:widowControl/>
        <w:adjustRightInd/>
        <w:snapToGrid/>
        <w:spacing w:line="240" w:lineRule="auto"/>
        <w:ind w:firstLine="0" w:firstLineChars="0"/>
        <w:jc w:val="left"/>
        <w:rPr>
          <w:rFonts w:ascii="宋体" w:hAnsi="宋体" w:eastAsia="宋体"/>
          <w:b/>
          <w:bCs/>
          <w:sz w:val="32"/>
          <w:szCs w:val="28"/>
        </w:rPr>
      </w:pPr>
      <w:r>
        <w:rPr>
          <w:rFonts w:ascii="宋体" w:hAnsi="宋体" w:eastAsia="宋体"/>
          <w:b/>
          <w:bCs/>
          <w:sz w:val="32"/>
          <w:szCs w:val="28"/>
        </w:rPr>
        <w:br w:type="page"/>
      </w:r>
    </w:p>
    <w:p>
      <w:pPr>
        <w:spacing w:before="120" w:beforeLines="50" w:after="120" w:afterLines="50"/>
        <w:ind w:firstLine="643"/>
        <w:jc w:val="center"/>
        <w:rPr>
          <w:rFonts w:ascii="宋体" w:hAnsi="宋体" w:eastAsia="宋体"/>
          <w:b/>
          <w:bCs/>
          <w:sz w:val="32"/>
          <w:szCs w:val="28"/>
        </w:rPr>
      </w:pPr>
      <w:r>
        <w:rPr>
          <w:rFonts w:hint="eastAsia" w:ascii="宋体" w:hAnsi="宋体" w:eastAsia="宋体"/>
          <w:b/>
          <w:bCs/>
          <w:sz w:val="32"/>
          <w:szCs w:val="28"/>
        </w:rPr>
        <w:t>（四）组委会</w:t>
      </w:r>
    </w:p>
    <w:p>
      <w:pPr>
        <w:ind w:firstLine="0" w:firstLineChars="0"/>
        <w:jc w:val="left"/>
        <w:rPr>
          <w:rFonts w:ascii="宋体" w:hAnsi="宋体" w:eastAsia="宋体"/>
        </w:rPr>
      </w:pPr>
      <w:r>
        <w:rPr>
          <w:rFonts w:hint="eastAsia" w:ascii="宋体" w:hAnsi="宋体" w:eastAsia="宋体"/>
        </w:rPr>
        <w:t>主任：</w:t>
      </w:r>
    </w:p>
    <w:p>
      <w:pPr>
        <w:jc w:val="left"/>
        <w:rPr>
          <w:rFonts w:ascii="宋体" w:hAnsi="宋体" w:eastAsia="宋体"/>
        </w:rPr>
      </w:pPr>
      <w:r>
        <w:rPr>
          <w:rFonts w:hint="eastAsia" w:ascii="宋体" w:hAnsi="宋体" w:eastAsia="宋体"/>
        </w:rPr>
        <w:t xml:space="preserve">严 </w:t>
      </w:r>
      <w:r>
        <w:rPr>
          <w:rFonts w:ascii="宋体" w:hAnsi="宋体" w:eastAsia="宋体"/>
        </w:rPr>
        <w:t xml:space="preserve"> </w:t>
      </w:r>
      <w:r>
        <w:rPr>
          <w:rFonts w:hint="eastAsia" w:ascii="宋体" w:hAnsi="宋体" w:eastAsia="宋体"/>
        </w:rPr>
        <w:t>明    公安部第一、三研究所原所长</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副主任：</w:t>
      </w:r>
    </w:p>
    <w:p>
      <w:pPr>
        <w:jc w:val="left"/>
        <w:rPr>
          <w:rFonts w:ascii="宋体" w:hAnsi="宋体" w:eastAsia="宋体"/>
        </w:rPr>
      </w:pPr>
      <w:r>
        <w:rPr>
          <w:rFonts w:hint="eastAsia" w:ascii="宋体" w:hAnsi="宋体" w:eastAsia="宋体"/>
        </w:rPr>
        <w:t>谢毅平    广东新兴国家网络安全和信息化发展研究院院长</w:t>
      </w:r>
    </w:p>
    <w:p>
      <w:pPr>
        <w:jc w:val="left"/>
        <w:rPr>
          <w:rFonts w:ascii="宋体" w:hAnsi="宋体" w:eastAsia="宋体"/>
        </w:rPr>
      </w:pPr>
      <w:r>
        <w:rPr>
          <w:rFonts w:hint="eastAsia" w:ascii="宋体" w:hAnsi="宋体" w:eastAsia="宋体"/>
        </w:rPr>
        <w:t xml:space="preserve">          公安部科技信息化局原局长</w:t>
      </w:r>
    </w:p>
    <w:p>
      <w:pPr>
        <w:jc w:val="left"/>
        <w:rPr>
          <w:rFonts w:ascii="宋体" w:hAnsi="宋体" w:eastAsia="宋体"/>
        </w:rPr>
      </w:pPr>
      <w:r>
        <w:rPr>
          <w:rFonts w:hint="eastAsia" w:ascii="宋体" w:hAnsi="宋体" w:eastAsia="宋体"/>
        </w:rPr>
        <w:t>袁旭阳    北京网络行业协会会长</w:t>
      </w:r>
    </w:p>
    <w:p>
      <w:pPr>
        <w:jc w:val="left"/>
        <w:rPr>
          <w:rFonts w:ascii="宋体" w:hAnsi="宋体" w:eastAsia="宋体"/>
        </w:rPr>
      </w:pPr>
      <w:r>
        <w:rPr>
          <w:rFonts w:hint="eastAsia" w:ascii="宋体" w:hAnsi="宋体" w:eastAsia="宋体"/>
        </w:rPr>
        <w:t xml:space="preserve">          公安部网络安全保卫局原副局长</w:t>
      </w:r>
    </w:p>
    <w:p>
      <w:pPr>
        <w:jc w:val="left"/>
        <w:rPr>
          <w:rFonts w:ascii="宋体" w:hAnsi="宋体" w:eastAsia="宋体"/>
        </w:rPr>
      </w:pPr>
      <w:r>
        <w:rPr>
          <w:rFonts w:hint="eastAsia" w:ascii="宋体" w:hAnsi="宋体" w:eastAsia="宋体"/>
        </w:rPr>
        <w:t>陈  钟    北京大学网络和信息安全实验室主任</w:t>
      </w:r>
    </w:p>
    <w:p>
      <w:pPr>
        <w:jc w:val="left"/>
        <w:rPr>
          <w:rFonts w:ascii="宋体" w:hAnsi="宋体" w:eastAsia="宋体"/>
        </w:rPr>
      </w:pPr>
      <w:r>
        <w:rPr>
          <w:rFonts w:hint="eastAsia" w:ascii="宋体" w:hAnsi="宋体" w:eastAsia="宋体"/>
        </w:rPr>
        <w:t>杨建军    中国电子技术标准化研究院副院长</w:t>
      </w:r>
    </w:p>
    <w:p>
      <w:pPr>
        <w:jc w:val="left"/>
        <w:rPr>
          <w:rFonts w:ascii="宋体" w:hAnsi="宋体" w:eastAsia="宋体"/>
        </w:rPr>
      </w:pPr>
      <w:r>
        <w:rPr>
          <w:rFonts w:hint="eastAsia" w:ascii="宋体" w:hAnsi="宋体" w:eastAsia="宋体"/>
        </w:rPr>
        <w:t>陈建民    国家计算机病毒应急处理中心常务副主任</w:t>
      </w:r>
    </w:p>
    <w:p>
      <w:pPr>
        <w:jc w:val="left"/>
        <w:rPr>
          <w:rFonts w:ascii="宋体" w:hAnsi="宋体" w:eastAsia="宋体"/>
        </w:rPr>
      </w:pPr>
      <w:r>
        <w:rPr>
          <w:rFonts w:hint="eastAsia" w:ascii="宋体" w:hAnsi="宋体" w:eastAsia="宋体"/>
        </w:rPr>
        <w:t>宋茂恩    中国互联网协会常务副秘书长</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秘书长：</w:t>
      </w:r>
    </w:p>
    <w:p>
      <w:pPr>
        <w:jc w:val="left"/>
        <w:rPr>
          <w:rFonts w:ascii="宋体" w:hAnsi="宋体" w:eastAsia="宋体"/>
        </w:rPr>
      </w:pPr>
      <w:r>
        <w:rPr>
          <w:rFonts w:hint="eastAsia" w:ascii="宋体" w:hAnsi="宋体" w:eastAsia="宋体"/>
        </w:rPr>
        <w:t>黄丽玲    全国信息网络安全协会联盟秘书长</w:t>
      </w:r>
    </w:p>
    <w:p>
      <w:pPr>
        <w:jc w:val="left"/>
        <w:rPr>
          <w:rFonts w:ascii="宋体" w:hAnsi="宋体" w:eastAsia="宋体"/>
        </w:rPr>
      </w:pPr>
      <w:r>
        <w:rPr>
          <w:rFonts w:hint="eastAsia" w:ascii="宋体" w:hAnsi="宋体" w:eastAsia="宋体"/>
        </w:rPr>
        <w:t xml:space="preserve">          广东省网络空间安全协会会长</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副秘书长：</w:t>
      </w:r>
    </w:p>
    <w:p>
      <w:pPr>
        <w:ind w:firstLine="364" w:firstLineChars="152"/>
        <w:jc w:val="left"/>
        <w:rPr>
          <w:rFonts w:ascii="宋体" w:hAnsi="宋体" w:eastAsia="宋体"/>
        </w:rPr>
      </w:pPr>
      <w:r>
        <w:rPr>
          <w:rFonts w:hint="eastAsia" w:ascii="宋体" w:hAnsi="宋体" w:eastAsia="宋体"/>
        </w:rPr>
        <w:t xml:space="preserve"> 朱江霞    成都信息网络安全协会会长</w:t>
      </w:r>
    </w:p>
    <w:p>
      <w:pPr>
        <w:jc w:val="left"/>
        <w:rPr>
          <w:rFonts w:ascii="宋体" w:hAnsi="宋体" w:eastAsia="宋体"/>
        </w:rPr>
      </w:pPr>
      <w:r>
        <w:rPr>
          <w:rFonts w:hint="eastAsia" w:ascii="宋体" w:hAnsi="宋体" w:eastAsia="宋体"/>
        </w:rPr>
        <w:t>胡俊涛    郑州市计算机网络安全协会秘书长</w:t>
      </w:r>
    </w:p>
    <w:p>
      <w:pPr>
        <w:jc w:val="left"/>
        <w:rPr>
          <w:rFonts w:ascii="宋体" w:hAnsi="宋体" w:eastAsia="宋体"/>
        </w:rPr>
      </w:pPr>
      <w:r>
        <w:rPr>
          <w:rFonts w:hint="eastAsia" w:ascii="宋体" w:hAnsi="宋体" w:eastAsia="宋体"/>
        </w:rPr>
        <w:t>高  宁    广东新兴国家网络安全和信息化发展研究院总工程师</w:t>
      </w:r>
    </w:p>
    <w:p>
      <w:pPr>
        <w:jc w:val="left"/>
        <w:rPr>
          <w:rFonts w:ascii="宋体" w:hAnsi="宋体" w:eastAsia="宋体"/>
        </w:rPr>
      </w:pPr>
      <w:r>
        <w:rPr>
          <w:rFonts w:hint="eastAsia" w:ascii="宋体" w:hAnsi="宋体" w:eastAsia="宋体"/>
        </w:rPr>
        <w:t xml:space="preserve">张 </w:t>
      </w:r>
      <w:r>
        <w:rPr>
          <w:rFonts w:ascii="宋体" w:hAnsi="宋体" w:eastAsia="宋体"/>
        </w:rPr>
        <w:t xml:space="preserve"> </w:t>
      </w:r>
      <w:r>
        <w:rPr>
          <w:rFonts w:hint="eastAsia" w:ascii="宋体" w:hAnsi="宋体" w:eastAsia="宋体"/>
        </w:rPr>
        <w:t>应    北京关键信息基础设施安全保护中心总工程师</w:t>
      </w:r>
    </w:p>
    <w:p>
      <w:pPr>
        <w:jc w:val="left"/>
        <w:rPr>
          <w:rFonts w:ascii="宋体" w:hAnsi="宋体" w:eastAsia="宋体"/>
        </w:rPr>
      </w:pPr>
      <w:r>
        <w:rPr>
          <w:rFonts w:hint="eastAsia" w:ascii="宋体" w:hAnsi="宋体" w:eastAsia="宋体"/>
        </w:rPr>
        <w:t>郭守祥    北京网络空间安全协会副理事长</w:t>
      </w:r>
    </w:p>
    <w:p>
      <w:pPr>
        <w:jc w:val="left"/>
        <w:rPr>
          <w:rFonts w:ascii="宋体" w:hAnsi="宋体" w:eastAsia="宋体"/>
        </w:rPr>
      </w:pPr>
      <w:r>
        <w:rPr>
          <w:rFonts w:hint="eastAsia" w:ascii="宋体" w:hAnsi="宋体" w:eastAsia="宋体"/>
        </w:rPr>
        <w:t>崔传桢    国家信息中心《信息安全研究》杂志执行主编</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秘书长助理：</w:t>
      </w:r>
    </w:p>
    <w:p>
      <w:pPr>
        <w:jc w:val="left"/>
        <w:rPr>
          <w:rFonts w:ascii="宋体" w:hAnsi="宋体" w:eastAsia="宋体"/>
        </w:rPr>
      </w:pPr>
      <w:r>
        <w:rPr>
          <w:rFonts w:hint="eastAsia" w:ascii="宋体" w:hAnsi="宋体" w:eastAsia="宋体"/>
        </w:rPr>
        <w:t>周贵招    全国信息网络安全协会联盟秘书长助理</w:t>
      </w:r>
    </w:p>
    <w:p>
      <w:pPr>
        <w:jc w:val="left"/>
        <w:rPr>
          <w:rFonts w:ascii="宋体" w:hAnsi="宋体" w:eastAsia="宋体"/>
          <w:b/>
          <w:bCs/>
          <w:color w:val="FF0000"/>
          <w:kern w:val="44"/>
          <w:sz w:val="32"/>
          <w:szCs w:val="32"/>
        </w:rPr>
      </w:pPr>
      <w:r>
        <w:rPr>
          <w:rFonts w:hint="eastAsia" w:ascii="宋体" w:hAnsi="宋体" w:eastAsia="宋体"/>
        </w:rPr>
        <w:t>林小博    北京网络空间安全协会秘书长助理</w:t>
      </w:r>
      <w:r>
        <w:rPr>
          <w:rFonts w:ascii="宋体" w:hAnsi="宋体" w:eastAsia="宋体"/>
          <w:color w:val="FF0000"/>
          <w:sz w:val="32"/>
          <w:szCs w:val="32"/>
        </w:rPr>
        <w:br w:type="page"/>
      </w:r>
    </w:p>
    <w:p>
      <w:pPr>
        <w:pStyle w:val="2"/>
        <w:rPr>
          <w:rFonts w:ascii="宋体" w:hAnsi="宋体" w:eastAsia="宋体"/>
          <w:sz w:val="32"/>
          <w:szCs w:val="32"/>
        </w:rPr>
      </w:pPr>
      <w:bookmarkStart w:id="1004" w:name="_Toc16190"/>
      <w:bookmarkStart w:id="1005" w:name="_Toc50902730"/>
      <w:r>
        <w:rPr>
          <w:rFonts w:hint="eastAsia" w:ascii="宋体" w:hAnsi="宋体" w:eastAsia="宋体"/>
          <w:sz w:val="32"/>
          <w:szCs w:val="32"/>
        </w:rPr>
        <w:t>附件四：调查活动发起单位及支持单位名单（排名不分先后）</w:t>
      </w:r>
      <w:bookmarkEnd w:id="1004"/>
      <w:bookmarkEnd w:id="1005"/>
    </w:p>
    <w:p>
      <w:pPr>
        <w:spacing w:before="120" w:beforeLines="50" w:after="120" w:afterLines="50"/>
        <w:ind w:firstLine="643"/>
        <w:jc w:val="center"/>
        <w:rPr>
          <w:rFonts w:ascii="宋体" w:hAnsi="宋体" w:eastAsia="宋体"/>
          <w:b/>
          <w:bCs/>
          <w:sz w:val="32"/>
          <w:szCs w:val="28"/>
        </w:rPr>
      </w:pPr>
      <w:r>
        <w:rPr>
          <w:rFonts w:hint="eastAsia" w:ascii="宋体" w:hAnsi="宋体" w:eastAsia="宋体"/>
          <w:b/>
          <w:bCs/>
          <w:sz w:val="32"/>
          <w:szCs w:val="28"/>
        </w:rPr>
        <w:t xml:space="preserve">发 </w:t>
      </w:r>
      <w:r>
        <w:rPr>
          <w:rFonts w:ascii="宋体" w:hAnsi="宋体" w:eastAsia="宋体"/>
          <w:b/>
          <w:bCs/>
          <w:sz w:val="32"/>
          <w:szCs w:val="28"/>
        </w:rPr>
        <w:t xml:space="preserve"> </w:t>
      </w:r>
      <w:r>
        <w:rPr>
          <w:rFonts w:hint="eastAsia" w:ascii="宋体" w:hAnsi="宋体" w:eastAsia="宋体"/>
          <w:b/>
          <w:bCs/>
          <w:sz w:val="32"/>
          <w:szCs w:val="28"/>
        </w:rPr>
        <w:t xml:space="preserve">起 </w:t>
      </w:r>
      <w:r>
        <w:rPr>
          <w:rFonts w:ascii="宋体" w:hAnsi="宋体" w:eastAsia="宋体"/>
          <w:b/>
          <w:bCs/>
          <w:sz w:val="32"/>
          <w:szCs w:val="28"/>
        </w:rPr>
        <w:t xml:space="preserve"> </w:t>
      </w:r>
      <w:r>
        <w:rPr>
          <w:rFonts w:hint="eastAsia" w:ascii="宋体" w:hAnsi="宋体" w:eastAsia="宋体"/>
          <w:b/>
          <w:bCs/>
          <w:sz w:val="32"/>
          <w:szCs w:val="28"/>
        </w:rPr>
        <w:t xml:space="preserve">单 </w:t>
      </w:r>
      <w:r>
        <w:rPr>
          <w:rFonts w:ascii="宋体" w:hAnsi="宋体" w:eastAsia="宋体"/>
          <w:b/>
          <w:bCs/>
          <w:sz w:val="32"/>
          <w:szCs w:val="28"/>
        </w:rPr>
        <w:t xml:space="preserve"> </w:t>
      </w:r>
      <w:r>
        <w:rPr>
          <w:rFonts w:hint="eastAsia" w:ascii="宋体" w:hAnsi="宋体" w:eastAsia="宋体"/>
          <w:b/>
          <w:bCs/>
          <w:sz w:val="32"/>
          <w:szCs w:val="28"/>
        </w:rPr>
        <w:t>位</w:t>
      </w:r>
    </w:p>
    <w:p>
      <w:pPr>
        <w:ind w:firstLine="0" w:firstLineChars="0"/>
        <w:jc w:val="left"/>
        <w:rPr>
          <w:rFonts w:asciiTheme="minorEastAsia" w:hAnsiTheme="minorEastAsia"/>
        </w:rPr>
        <w:sectPr>
          <w:footerReference r:id="rId10" w:type="default"/>
          <w:pgSz w:w="11906" w:h="16838"/>
          <w:pgMar w:top="1440" w:right="1797" w:bottom="1440" w:left="1797" w:header="709" w:footer="709" w:gutter="0"/>
          <w:pgNumType w:start="1"/>
          <w:cols w:space="708" w:num="1"/>
          <w:docGrid w:linePitch="360" w:charSpace="0"/>
        </w:sectPr>
      </w:pP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 北京网络行业协会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 北京网络空间安全协会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 中关村可信计算产业联盟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 中关村网络安全与信息化产业联盟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 中关村信息安全测评联盟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 北京关键信息基础设施安全保护中心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 上海市信息网络安全管理协会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 上海市信息安全行业协会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 天津市网络文化行业协会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 天津市青少年网络协会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 天津市软件行业协会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 天津市互联网协会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 天津市大数据协会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14 重庆市信息安全协会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15 重庆计算机安全学会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16 重庆信息安全产业技术创新联盟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17 重庆市互联网界联合会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18 河北省网络空间安全学会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19 山西省信息网络安全协会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20 山西省互联网协会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21 吉林省信息网络安全协会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22 吉林省信息技术应用协会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23 吉林省电子信息行业联合会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24 吉林省计算机行业商会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25 辽宁省信息网络安全协会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26 辽宁网络安全保障工作联盟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27 黑龙江省网络安全协会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28 黑龙江省旅游产业发展促进会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29 黑龙江省虚拟现实科技学会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30 陕西省信息网络安全协会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31 山东省信息网络安全协会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32 福建省网络与信息安全产业发展促进会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33 浙江省计算机系统安全协会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34 河南省网络营销协会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35 湖北省信息网络安全协会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36 湖北省安全技术防范行业协会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37 湖南省网络空间安全协会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38 江西省网络空间安全协会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39 江苏省信息网络安全协会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40 安徽省计算机网络与信息安全协会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41 广东省计算机信息网络安全协会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42 广东省网络空间安全协会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43 广东关键信息基础设施保护中心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44 广东省电子政务协会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45 广东软件行业协会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46 广东省首席信息官协会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47 广东省版权保护联合会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48 广东省互联网协会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49 广东省信息消费协会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50 广东省图书文化信息协会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51 广东省物联网协会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52 广州市网络安全产业促进会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53 广东省电子信息行业协会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54 海南省计算机学会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55 海南省网络安全协会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56 四川省计算机信息安全行业协会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57 贵州省互联网上网服务行业协会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58 云南省信息安全协会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59 内蒙古自治区网络行业协会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60 宁夏网络与信息安全行业协会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61 广西网络安全协会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62 西藏互联网协会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63 秦皇岛市信息网络安全协会（筹）</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64 长春市计算机信息网络安全协会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65 沈阳市网络安全协会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66 大连市信息网络安全协会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67 渭南市互联网协会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68 榆林市网络安全协会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69 商洛市信息网络安全协会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70 济宁市信息网络安全协会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71 青岛市计算机学会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72 潍坊市网络空间安全协会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73 曲阜市信息网络安全协会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74 聊城市网络空间安全协会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75 郑州市网络安全协会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76 杭州市网络安全协会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77 宁波市计算机信息网络安全协会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78 金华市信息安全协会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79 金华市信息产业协会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80 金华市网商协会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81 丽水市信息网络安全协会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82 温州市软件行业协会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83 洛阳市信息网络安全协会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84 南昌市网络信息安全协会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85 南昌市互联网创业协会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86 扬州市信息网络安全协会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87 连云港市计算机信息网络安全协会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88 南通市信息网络安全协会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89 泰州市信息网络安全协会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90 苏州市互联网协会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91 湘谭市计算机学会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92 长沙市开福区网络安全协会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93 广州市信息网络安全协会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94 广州市信息基础协会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95 广州华南信息安全测评中心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96 深圳市计算机网络公共安全协会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97 深圳市网络与信息安全行业协会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98 佛山市信息协会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99 揭阳网络空间安全协会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100 揭阳市信息技术和软件协会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101 珠海市信息网络安全协会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102 清远市网络安全协会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103 茂名市计算机信息网络安全协会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104 茂名市网络文化协会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105 河源市计算机信息网络安全协会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106 惠州市计算机信息网络安全协会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107 韶关市计算机信息网络安全协会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108 东莞市信息技术联合会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109 肇庆市计算机学会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110 汕尾市计算机学会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111 成都信息网络安全协会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112 成都安全可靠信息技术联合会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113 成都市大数据协会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114 成都物联网产业发展联盟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115 贵阳市信息网络安全协会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116 贵阳市大数据产业协会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117 曲靖市计算机信息网络安全协会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118 玉溪市网络安全协会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119 包头市计算机公共网络安全协会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120 通辽市信息网络安全协会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121 南宁市信息网络安全协会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122 网络安全（天津）检测中心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123 青海省网络与信息安全信息通报中心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124 石河子大学信息科学技术学院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125 宁夏大学信息工程学院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126 重庆信息安全产业研究院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127 甘肃烽侦网络安全研究院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128 广东新兴国家网络安全和信息化发展研究院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129 广东省现代社会评价科学研究院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130 广东中证声像资料司法鉴定所</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131 江西中证电子数据司法鉴定中心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132 四川大学信息安全研究所</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133 中国计算机学会计算机安全专委会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134 中国联合国采购促进会网信分会</w:t>
      </w:r>
    </w:p>
    <w:p>
      <w:pPr>
        <w:tabs>
          <w:tab w:val="left" w:pos="4111"/>
        </w:tabs>
        <w:ind w:firstLine="0" w:firstLineChars="0"/>
        <w:rPr>
          <w:rFonts w:asciiTheme="minorEastAsia" w:hAnsiTheme="minorEastAsia"/>
          <w:sz w:val="21"/>
          <w:szCs w:val="21"/>
        </w:rPr>
        <w:sectPr>
          <w:type w:val="continuous"/>
          <w:pgSz w:w="11906" w:h="16838"/>
          <w:pgMar w:top="1440" w:right="1797" w:bottom="1440" w:left="1797" w:header="709" w:footer="709" w:gutter="0"/>
          <w:cols w:space="282" w:num="2"/>
          <w:docGrid w:linePitch="360" w:charSpace="0"/>
        </w:sectPr>
      </w:pPr>
      <w:r>
        <w:rPr>
          <w:rFonts w:hint="eastAsia" w:asciiTheme="minorEastAsia" w:hAnsiTheme="minorEastAsia"/>
          <w:sz w:val="21"/>
          <w:szCs w:val="21"/>
        </w:rPr>
        <w:t>135 中国文化管理协会网络文化工作委员</w:t>
      </w:r>
    </w:p>
    <w:p>
      <w:pPr>
        <w:tabs>
          <w:tab w:val="left" w:pos="4111"/>
        </w:tabs>
        <w:ind w:firstLine="0" w:firstLineChars="0"/>
        <w:rPr>
          <w:rFonts w:asciiTheme="minorEastAsia" w:hAnsiTheme="minorEastAsia"/>
          <w:sz w:val="21"/>
          <w:szCs w:val="21"/>
        </w:rPr>
        <w:sectPr>
          <w:type w:val="continuous"/>
          <w:pgSz w:w="11906" w:h="16838"/>
          <w:pgMar w:top="1440" w:right="1797" w:bottom="1440" w:left="1797" w:header="709" w:footer="709" w:gutter="0"/>
          <w:cols w:space="708" w:num="2"/>
          <w:docGrid w:linePitch="360" w:charSpace="0"/>
        </w:sectPr>
      </w:pPr>
    </w:p>
    <w:p>
      <w:pPr>
        <w:tabs>
          <w:tab w:val="left" w:pos="4111"/>
        </w:tabs>
        <w:ind w:firstLine="560"/>
        <w:rPr>
          <w:rFonts w:asciiTheme="minorEastAsia" w:hAnsiTheme="minorEastAsia"/>
          <w:sz w:val="28"/>
          <w:szCs w:val="28"/>
        </w:rPr>
        <w:sectPr>
          <w:type w:val="continuous"/>
          <w:pgSz w:w="11906" w:h="16838"/>
          <w:pgMar w:top="1440" w:right="1797" w:bottom="1440" w:left="1797" w:header="709" w:footer="709" w:gutter="0"/>
          <w:cols w:space="708" w:num="1"/>
          <w:docGrid w:linePitch="360" w:charSpace="0"/>
        </w:sect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牵头实施单位</w:t>
      </w:r>
    </w:p>
    <w:p>
      <w:pPr>
        <w:ind w:firstLine="0" w:firstLineChars="0"/>
        <w:jc w:val="center"/>
        <w:rPr>
          <w:rFonts w:asciiTheme="minorEastAsia" w:hAnsiTheme="minorEastAsia"/>
          <w:sz w:val="28"/>
          <w:szCs w:val="28"/>
        </w:rPr>
      </w:pPr>
      <w:r>
        <w:rPr>
          <w:rFonts w:hint="eastAsia" w:asciiTheme="minorEastAsia" w:hAnsiTheme="minorEastAsia"/>
          <w:sz w:val="28"/>
          <w:szCs w:val="28"/>
        </w:rPr>
        <w:t>全国信息网络安全协会联盟（网安联）</w:t>
      </w:r>
    </w:p>
    <w:p>
      <w:pPr>
        <w:ind w:firstLine="0" w:firstLineChars="0"/>
        <w:jc w:val="center"/>
        <w:rPr>
          <w:rFonts w:asciiTheme="minorEastAsia" w:hAnsiTheme="minorEastAsia"/>
          <w:sz w:val="28"/>
          <w:szCs w:val="28"/>
        </w:r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承办单位</w:t>
      </w:r>
    </w:p>
    <w:p>
      <w:pPr>
        <w:ind w:firstLine="0" w:firstLineChars="0"/>
        <w:jc w:val="center"/>
        <w:rPr>
          <w:rFonts w:asciiTheme="minorEastAsia" w:hAnsiTheme="minorEastAsia"/>
          <w:sz w:val="28"/>
          <w:szCs w:val="28"/>
        </w:rPr>
      </w:pPr>
      <w:r>
        <w:rPr>
          <w:rFonts w:hint="eastAsia" w:asciiTheme="minorEastAsia" w:hAnsiTheme="minorEastAsia"/>
          <w:sz w:val="28"/>
          <w:szCs w:val="28"/>
        </w:rPr>
        <w:t>广东新兴国家网络安全和信息化发展研究院</w:t>
      </w:r>
    </w:p>
    <w:p>
      <w:pPr>
        <w:ind w:firstLine="0" w:firstLineChars="0"/>
        <w:rPr>
          <w:rFonts w:asciiTheme="minorEastAsia" w:hAnsiTheme="minorEastAsia"/>
          <w:sz w:val="28"/>
          <w:szCs w:val="28"/>
        </w:r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技术支撑单位</w:t>
      </w:r>
    </w:p>
    <w:p>
      <w:pPr>
        <w:ind w:firstLine="0" w:firstLineChars="0"/>
        <w:jc w:val="center"/>
        <w:rPr>
          <w:rFonts w:asciiTheme="minorEastAsia" w:hAnsiTheme="minorEastAsia"/>
          <w:sz w:val="28"/>
          <w:szCs w:val="28"/>
        </w:rPr>
      </w:pPr>
      <w:r>
        <w:rPr>
          <w:rFonts w:hint="eastAsia" w:asciiTheme="minorEastAsia" w:hAnsiTheme="minorEastAsia"/>
          <w:sz w:val="28"/>
          <w:szCs w:val="28"/>
        </w:rPr>
        <w:t>北京关键信息基础设施安全保护中心</w:t>
      </w:r>
    </w:p>
    <w:p>
      <w:pPr>
        <w:ind w:firstLine="0" w:firstLineChars="0"/>
        <w:jc w:val="center"/>
        <w:rPr>
          <w:rFonts w:asciiTheme="minorEastAsia" w:hAnsiTheme="minorEastAsia"/>
          <w:sz w:val="28"/>
          <w:szCs w:val="28"/>
        </w:rPr>
      </w:pPr>
      <w:r>
        <w:rPr>
          <w:rFonts w:hint="eastAsia" w:asciiTheme="minorEastAsia" w:hAnsiTheme="minorEastAsia"/>
          <w:sz w:val="28"/>
          <w:szCs w:val="28"/>
        </w:rPr>
        <w:t>广东关键信息基础设施保护中心</w:t>
      </w:r>
    </w:p>
    <w:p>
      <w:pPr>
        <w:ind w:firstLine="0" w:firstLineChars="0"/>
        <w:jc w:val="center"/>
        <w:rPr>
          <w:rFonts w:asciiTheme="minorEastAsia" w:hAnsiTheme="minorEastAsia"/>
          <w:sz w:val="28"/>
          <w:szCs w:val="28"/>
        </w:rPr>
      </w:pPr>
      <w:r>
        <w:rPr>
          <w:rFonts w:hint="eastAsia" w:asciiTheme="minorEastAsia" w:hAnsiTheme="minorEastAsia"/>
          <w:sz w:val="28"/>
          <w:szCs w:val="28"/>
        </w:rPr>
        <w:t>长沙冉星信息科技有限公司（问卷星）</w:t>
      </w:r>
    </w:p>
    <w:p>
      <w:pPr>
        <w:ind w:firstLine="0" w:firstLineChars="0"/>
        <w:jc w:val="center"/>
        <w:rPr>
          <w:rFonts w:asciiTheme="minorEastAsia" w:hAnsiTheme="minorEastAsia"/>
          <w:sz w:val="28"/>
          <w:szCs w:val="28"/>
        </w:rPr>
      </w:pPr>
      <w:r>
        <w:rPr>
          <w:rFonts w:hint="eastAsia" w:asciiTheme="minorEastAsia" w:hAnsiTheme="minorEastAsia"/>
          <w:sz w:val="28"/>
          <w:szCs w:val="28"/>
        </w:rPr>
        <w:t>广东中证声像资料司法鉴定所</w:t>
      </w:r>
    </w:p>
    <w:p>
      <w:pPr>
        <w:ind w:firstLine="0" w:firstLineChars="0"/>
        <w:jc w:val="center"/>
        <w:rPr>
          <w:rFonts w:asciiTheme="minorEastAsia" w:hAnsiTheme="minorEastAsia"/>
          <w:sz w:val="28"/>
          <w:szCs w:val="28"/>
        </w:rPr>
      </w:pPr>
      <w:r>
        <w:rPr>
          <w:rFonts w:hint="eastAsia" w:asciiTheme="minorEastAsia" w:hAnsiTheme="minorEastAsia"/>
          <w:sz w:val="28"/>
          <w:szCs w:val="28"/>
        </w:rPr>
        <w:t>广州华南信息安全测评中心</w:t>
      </w:r>
    </w:p>
    <w:p>
      <w:pPr>
        <w:ind w:firstLine="0" w:firstLineChars="0"/>
        <w:rPr>
          <w:rFonts w:asciiTheme="minorEastAsia" w:hAnsiTheme="minorEastAsia"/>
          <w:sz w:val="28"/>
          <w:szCs w:val="28"/>
        </w:r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部分新闻媒体</w:t>
      </w:r>
    </w:p>
    <w:p>
      <w:pPr>
        <w:ind w:firstLine="560"/>
        <w:jc w:val="left"/>
        <w:rPr>
          <w:rFonts w:asciiTheme="minorEastAsia" w:hAnsiTheme="minorEastAsia"/>
          <w:sz w:val="28"/>
          <w:szCs w:val="28"/>
        </w:rPr>
      </w:pPr>
      <w:r>
        <w:rPr>
          <w:rFonts w:hint="eastAsia" w:asciiTheme="minorEastAsia" w:hAnsiTheme="minorEastAsia"/>
          <w:sz w:val="28"/>
          <w:szCs w:val="28"/>
        </w:rPr>
        <w:t>参与调查活动的中央及各地方媒体、平台，包括且不限于：</w:t>
      </w:r>
    </w:p>
    <w:p>
      <w:pPr>
        <w:ind w:firstLine="0" w:firstLineChars="0"/>
        <w:jc w:val="left"/>
        <w:rPr>
          <w:rFonts w:asciiTheme="minorEastAsia" w:hAnsiTheme="minorEastAsia"/>
          <w:sz w:val="28"/>
          <w:szCs w:val="28"/>
        </w:rPr>
        <w:sectPr>
          <w:pgSz w:w="11906" w:h="16838"/>
          <w:pgMar w:top="1440" w:right="1797" w:bottom="1440" w:left="1797" w:header="709" w:footer="709" w:gutter="0"/>
          <w:cols w:space="708" w:num="1"/>
          <w:docGrid w:linePitch="360" w:charSpace="0"/>
        </w:sectPr>
      </w:pPr>
    </w:p>
    <w:p>
      <w:pPr>
        <w:ind w:firstLine="0" w:firstLineChars="0"/>
        <w:jc w:val="left"/>
        <w:rPr>
          <w:rFonts w:asciiTheme="minorEastAsia" w:hAnsiTheme="minorEastAsia"/>
          <w:sz w:val="28"/>
          <w:szCs w:val="28"/>
        </w:rPr>
      </w:pPr>
      <w:r>
        <w:rPr>
          <w:rFonts w:hint="eastAsia" w:asciiTheme="minorEastAsia" w:hAnsiTheme="minorEastAsia"/>
          <w:sz w:val="28"/>
          <w:szCs w:val="28"/>
        </w:rPr>
        <w:t>中央电视台《社会与法》频道</w:t>
      </w:r>
    </w:p>
    <w:p>
      <w:pPr>
        <w:ind w:firstLine="0" w:firstLineChars="0"/>
        <w:jc w:val="left"/>
        <w:rPr>
          <w:rFonts w:asciiTheme="minorEastAsia" w:hAnsiTheme="minorEastAsia"/>
          <w:sz w:val="28"/>
          <w:szCs w:val="28"/>
        </w:rPr>
      </w:pPr>
      <w:r>
        <w:rPr>
          <w:rFonts w:hint="eastAsia" w:asciiTheme="minorEastAsia" w:hAnsiTheme="minorEastAsia"/>
          <w:sz w:val="28"/>
          <w:szCs w:val="28"/>
        </w:rPr>
        <w:t>《信息安全与通信保密》</w:t>
      </w:r>
    </w:p>
    <w:p>
      <w:pPr>
        <w:ind w:firstLine="0" w:firstLineChars="0"/>
        <w:jc w:val="left"/>
        <w:rPr>
          <w:rFonts w:asciiTheme="minorEastAsia" w:hAnsiTheme="minorEastAsia"/>
          <w:sz w:val="28"/>
          <w:szCs w:val="28"/>
        </w:rPr>
      </w:pPr>
      <w:r>
        <w:rPr>
          <w:rFonts w:hint="eastAsia" w:asciiTheme="minorEastAsia" w:hAnsiTheme="minorEastAsia"/>
          <w:sz w:val="28"/>
          <w:szCs w:val="28"/>
        </w:rPr>
        <w:t>《中国信息安全》</w:t>
      </w:r>
    </w:p>
    <w:p>
      <w:pPr>
        <w:ind w:firstLine="0" w:firstLineChars="0"/>
        <w:jc w:val="left"/>
        <w:rPr>
          <w:rFonts w:asciiTheme="minorEastAsia" w:hAnsiTheme="minorEastAsia"/>
          <w:sz w:val="28"/>
          <w:szCs w:val="28"/>
        </w:rPr>
      </w:pPr>
      <w:r>
        <w:rPr>
          <w:rFonts w:hint="eastAsia" w:asciiTheme="minorEastAsia" w:hAnsiTheme="minorEastAsia"/>
          <w:sz w:val="28"/>
          <w:szCs w:val="28"/>
        </w:rPr>
        <w:t>《信息网络安全》</w:t>
      </w:r>
    </w:p>
    <w:p>
      <w:pPr>
        <w:ind w:firstLine="0" w:firstLineChars="0"/>
        <w:jc w:val="left"/>
        <w:rPr>
          <w:rFonts w:asciiTheme="minorEastAsia" w:hAnsiTheme="minorEastAsia"/>
          <w:sz w:val="28"/>
          <w:szCs w:val="28"/>
        </w:rPr>
      </w:pPr>
      <w:r>
        <w:rPr>
          <w:rFonts w:hint="eastAsia" w:asciiTheme="minorEastAsia" w:hAnsiTheme="minorEastAsia"/>
          <w:sz w:val="28"/>
          <w:szCs w:val="28"/>
        </w:rPr>
        <w:t>《信息安全研究》</w:t>
      </w:r>
    </w:p>
    <w:p>
      <w:pPr>
        <w:ind w:firstLine="0" w:firstLineChars="0"/>
        <w:jc w:val="left"/>
        <w:rPr>
          <w:rFonts w:asciiTheme="minorEastAsia" w:hAnsiTheme="minorEastAsia"/>
          <w:sz w:val="28"/>
          <w:szCs w:val="28"/>
        </w:rPr>
      </w:pPr>
      <w:r>
        <w:rPr>
          <w:rFonts w:hint="eastAsia" w:asciiTheme="minorEastAsia" w:hAnsiTheme="minorEastAsia"/>
          <w:sz w:val="28"/>
          <w:szCs w:val="28"/>
        </w:rPr>
        <w:t>《警察技术》</w:t>
      </w:r>
    </w:p>
    <w:p>
      <w:pPr>
        <w:ind w:firstLine="0" w:firstLineChars="0"/>
        <w:jc w:val="left"/>
        <w:rPr>
          <w:rFonts w:asciiTheme="minorEastAsia" w:hAnsiTheme="minorEastAsia"/>
          <w:sz w:val="28"/>
          <w:szCs w:val="28"/>
        </w:rPr>
      </w:pPr>
      <w:r>
        <w:rPr>
          <w:rFonts w:hint="eastAsia" w:asciiTheme="minorEastAsia" w:hAnsiTheme="minorEastAsia"/>
          <w:sz w:val="28"/>
          <w:szCs w:val="28"/>
        </w:rPr>
        <w:t>《经济》</w:t>
      </w:r>
    </w:p>
    <w:p>
      <w:pPr>
        <w:ind w:firstLine="0" w:firstLineChars="0"/>
        <w:jc w:val="left"/>
        <w:rPr>
          <w:rFonts w:asciiTheme="minorEastAsia" w:hAnsiTheme="minorEastAsia"/>
          <w:sz w:val="28"/>
          <w:szCs w:val="28"/>
        </w:rPr>
      </w:pPr>
      <w:r>
        <w:rPr>
          <w:rFonts w:hint="eastAsia" w:asciiTheme="minorEastAsia" w:hAnsiTheme="minorEastAsia"/>
          <w:sz w:val="28"/>
          <w:szCs w:val="28"/>
        </w:rPr>
        <w:t>《经济参考报》</w:t>
      </w:r>
    </w:p>
    <w:p>
      <w:pPr>
        <w:ind w:firstLine="0" w:firstLineChars="0"/>
        <w:jc w:val="left"/>
        <w:rPr>
          <w:rFonts w:asciiTheme="minorEastAsia" w:hAnsiTheme="minorEastAsia"/>
          <w:sz w:val="28"/>
          <w:szCs w:val="28"/>
        </w:rPr>
      </w:pPr>
      <w:r>
        <w:rPr>
          <w:rFonts w:hint="eastAsia" w:asciiTheme="minorEastAsia" w:hAnsiTheme="minorEastAsia"/>
          <w:sz w:val="28"/>
          <w:szCs w:val="28"/>
        </w:rPr>
        <w:t>《中国财经论坛》</w:t>
      </w:r>
    </w:p>
    <w:p>
      <w:pPr>
        <w:ind w:firstLine="0" w:firstLineChars="0"/>
        <w:jc w:val="left"/>
        <w:rPr>
          <w:rFonts w:asciiTheme="minorEastAsia" w:hAnsiTheme="minorEastAsia"/>
          <w:sz w:val="28"/>
          <w:szCs w:val="28"/>
        </w:rPr>
      </w:pPr>
      <w:r>
        <w:rPr>
          <w:rFonts w:hint="eastAsia" w:asciiTheme="minorEastAsia" w:hAnsiTheme="minorEastAsia"/>
          <w:sz w:val="28"/>
          <w:szCs w:val="28"/>
        </w:rPr>
        <w:t>《中青报》</w:t>
      </w:r>
    </w:p>
    <w:p>
      <w:pPr>
        <w:ind w:firstLine="0" w:firstLineChars="0"/>
        <w:jc w:val="left"/>
        <w:rPr>
          <w:rFonts w:asciiTheme="minorEastAsia" w:hAnsiTheme="minorEastAsia"/>
          <w:sz w:val="28"/>
          <w:szCs w:val="28"/>
        </w:rPr>
      </w:pPr>
      <w:r>
        <w:rPr>
          <w:rFonts w:hint="eastAsia" w:asciiTheme="minorEastAsia" w:hAnsiTheme="minorEastAsia"/>
          <w:sz w:val="28"/>
          <w:szCs w:val="28"/>
        </w:rPr>
        <w:t>《光明日报》</w:t>
      </w:r>
    </w:p>
    <w:p>
      <w:pPr>
        <w:ind w:firstLine="0" w:firstLineChars="0"/>
        <w:jc w:val="left"/>
        <w:rPr>
          <w:rFonts w:asciiTheme="minorEastAsia" w:hAnsiTheme="minorEastAsia"/>
          <w:sz w:val="28"/>
          <w:szCs w:val="28"/>
        </w:rPr>
      </w:pPr>
      <w:r>
        <w:rPr>
          <w:rFonts w:hint="eastAsia" w:asciiTheme="minorEastAsia" w:hAnsiTheme="minorEastAsia"/>
          <w:sz w:val="28"/>
          <w:szCs w:val="28"/>
        </w:rPr>
        <w:t>《南方都市报》</w:t>
      </w:r>
    </w:p>
    <w:p>
      <w:pPr>
        <w:ind w:firstLine="0" w:firstLineChars="0"/>
        <w:jc w:val="left"/>
        <w:rPr>
          <w:rFonts w:asciiTheme="minorEastAsia" w:hAnsiTheme="minorEastAsia"/>
          <w:sz w:val="28"/>
          <w:szCs w:val="28"/>
        </w:rPr>
      </w:pPr>
      <w:r>
        <w:rPr>
          <w:rFonts w:hint="eastAsia" w:asciiTheme="minorEastAsia" w:hAnsiTheme="minorEastAsia"/>
          <w:sz w:val="28"/>
          <w:szCs w:val="28"/>
        </w:rPr>
        <w:t>人民网</w:t>
      </w:r>
    </w:p>
    <w:p>
      <w:pPr>
        <w:ind w:firstLine="0" w:firstLineChars="0"/>
        <w:jc w:val="left"/>
        <w:rPr>
          <w:rFonts w:asciiTheme="minorEastAsia" w:hAnsiTheme="minorEastAsia"/>
          <w:sz w:val="28"/>
          <w:szCs w:val="28"/>
        </w:rPr>
      </w:pPr>
      <w:r>
        <w:rPr>
          <w:rFonts w:hint="eastAsia" w:asciiTheme="minorEastAsia" w:hAnsiTheme="minorEastAsia"/>
          <w:sz w:val="28"/>
          <w:szCs w:val="28"/>
        </w:rPr>
        <w:t>中国网</w:t>
      </w:r>
    </w:p>
    <w:p>
      <w:pPr>
        <w:ind w:firstLine="0" w:firstLineChars="0"/>
        <w:jc w:val="left"/>
        <w:rPr>
          <w:rFonts w:asciiTheme="minorEastAsia" w:hAnsiTheme="minorEastAsia"/>
          <w:sz w:val="28"/>
          <w:szCs w:val="28"/>
        </w:rPr>
      </w:pPr>
      <w:r>
        <w:rPr>
          <w:rFonts w:hint="eastAsia" w:asciiTheme="minorEastAsia" w:hAnsiTheme="minorEastAsia"/>
          <w:sz w:val="28"/>
          <w:szCs w:val="28"/>
        </w:rPr>
        <w:t>未来网</w:t>
      </w:r>
    </w:p>
    <w:p>
      <w:pPr>
        <w:ind w:firstLine="0" w:firstLineChars="0"/>
        <w:jc w:val="left"/>
        <w:rPr>
          <w:rFonts w:asciiTheme="minorEastAsia" w:hAnsiTheme="minorEastAsia"/>
          <w:sz w:val="28"/>
          <w:szCs w:val="28"/>
        </w:rPr>
      </w:pPr>
      <w:r>
        <w:rPr>
          <w:rFonts w:hint="eastAsia" w:asciiTheme="minorEastAsia" w:hAnsiTheme="minorEastAsia"/>
          <w:sz w:val="28"/>
          <w:szCs w:val="28"/>
        </w:rPr>
        <w:t>环球网</w:t>
      </w:r>
    </w:p>
    <w:p>
      <w:pPr>
        <w:ind w:firstLine="0" w:firstLineChars="0"/>
        <w:jc w:val="left"/>
        <w:rPr>
          <w:rFonts w:asciiTheme="minorEastAsia" w:hAnsiTheme="minorEastAsia"/>
          <w:sz w:val="28"/>
          <w:szCs w:val="28"/>
        </w:rPr>
      </w:pPr>
      <w:r>
        <w:rPr>
          <w:rFonts w:hint="eastAsia" w:asciiTheme="minorEastAsia" w:hAnsiTheme="minorEastAsia"/>
          <w:sz w:val="28"/>
          <w:szCs w:val="28"/>
        </w:rPr>
        <w:t>中青在线</w:t>
      </w:r>
    </w:p>
    <w:p>
      <w:pPr>
        <w:ind w:firstLine="0" w:firstLineChars="0"/>
        <w:jc w:val="left"/>
        <w:rPr>
          <w:rFonts w:asciiTheme="minorEastAsia" w:hAnsiTheme="minorEastAsia"/>
          <w:sz w:val="28"/>
          <w:szCs w:val="28"/>
        </w:rPr>
      </w:pPr>
      <w:r>
        <w:rPr>
          <w:rFonts w:hint="eastAsia" w:asciiTheme="minorEastAsia" w:hAnsiTheme="minorEastAsia"/>
          <w:sz w:val="28"/>
          <w:szCs w:val="28"/>
        </w:rPr>
        <w:t>光明网</w:t>
      </w:r>
    </w:p>
    <w:p>
      <w:pPr>
        <w:ind w:firstLine="0" w:firstLineChars="0"/>
        <w:jc w:val="left"/>
        <w:rPr>
          <w:rFonts w:asciiTheme="minorEastAsia" w:hAnsiTheme="minorEastAsia"/>
          <w:sz w:val="28"/>
          <w:szCs w:val="28"/>
        </w:rPr>
      </w:pPr>
      <w:r>
        <w:rPr>
          <w:rFonts w:hint="eastAsia" w:asciiTheme="minorEastAsia" w:hAnsiTheme="minorEastAsia"/>
          <w:sz w:val="28"/>
          <w:szCs w:val="28"/>
        </w:rPr>
        <w:t>金羊网</w:t>
      </w:r>
    </w:p>
    <w:p>
      <w:pPr>
        <w:ind w:firstLine="0" w:firstLineChars="0"/>
        <w:jc w:val="center"/>
        <w:rPr>
          <w:rFonts w:asciiTheme="minorEastAsia" w:hAnsiTheme="minorEastAsia"/>
          <w:sz w:val="28"/>
          <w:szCs w:val="28"/>
        </w:rPr>
        <w:sectPr>
          <w:type w:val="continuous"/>
          <w:pgSz w:w="11906" w:h="16838"/>
          <w:pgMar w:top="1440" w:right="1797" w:bottom="1440" w:left="1797" w:header="709" w:footer="709" w:gutter="0"/>
          <w:cols w:space="282" w:num="2"/>
          <w:docGrid w:linePitch="360" w:charSpace="0"/>
        </w:sectPr>
      </w:pPr>
    </w:p>
    <w:p>
      <w:pPr>
        <w:ind w:firstLine="0" w:firstLineChars="0"/>
        <w:rPr>
          <w:rFonts w:asciiTheme="minorEastAsia" w:hAnsiTheme="minorEastAsia"/>
          <w:sz w:val="28"/>
          <w:szCs w:val="28"/>
        </w:rPr>
        <w:sectPr>
          <w:type w:val="continuous"/>
          <w:pgSz w:w="11906" w:h="16838"/>
          <w:pgMar w:top="1440" w:right="1797" w:bottom="1440" w:left="1797" w:header="709" w:footer="709" w:gutter="0"/>
          <w:cols w:space="708" w:num="2"/>
          <w:docGrid w:linePitch="360" w:charSpace="0"/>
        </w:sect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部分支持企业和机构</w:t>
      </w:r>
    </w:p>
    <w:p>
      <w:pPr>
        <w:ind w:firstLine="0" w:firstLineChars="0"/>
        <w:jc w:val="center"/>
        <w:rPr>
          <w:rFonts w:asciiTheme="minorEastAsia" w:hAnsiTheme="minorEastAsia"/>
          <w:b/>
          <w:bCs/>
          <w:sz w:val="28"/>
          <w:szCs w:val="28"/>
        </w:rPr>
        <w:sectPr>
          <w:pgSz w:w="11906" w:h="16838"/>
          <w:pgMar w:top="1440" w:right="1797" w:bottom="1440" w:left="1797" w:header="709" w:footer="709" w:gutter="0"/>
          <w:cols w:space="708" w:num="1"/>
          <w:docGrid w:linePitch="360" w:charSpace="0"/>
        </w:sectPr>
      </w:pPr>
    </w:p>
    <w:p>
      <w:pPr>
        <w:ind w:firstLine="0" w:firstLineChars="0"/>
        <w:jc w:val="left"/>
        <w:rPr>
          <w:rFonts w:asciiTheme="minorEastAsia" w:hAnsiTheme="minorEastAsia"/>
          <w:sz w:val="21"/>
          <w:szCs w:val="21"/>
        </w:rPr>
      </w:pPr>
      <w:r>
        <w:rPr>
          <w:rFonts w:hint="eastAsia" w:asciiTheme="minorEastAsia" w:hAnsiTheme="minorEastAsia"/>
          <w:sz w:val="21"/>
          <w:szCs w:val="21"/>
        </w:rPr>
        <w:t>腾讯</w:t>
      </w:r>
    </w:p>
    <w:p>
      <w:pPr>
        <w:ind w:firstLine="0" w:firstLineChars="0"/>
        <w:jc w:val="left"/>
        <w:rPr>
          <w:rFonts w:asciiTheme="minorEastAsia" w:hAnsiTheme="minorEastAsia"/>
          <w:sz w:val="21"/>
          <w:szCs w:val="21"/>
        </w:rPr>
      </w:pPr>
      <w:r>
        <w:rPr>
          <w:rFonts w:hint="eastAsia" w:asciiTheme="minorEastAsia" w:hAnsiTheme="minorEastAsia"/>
          <w:sz w:val="21"/>
          <w:szCs w:val="21"/>
        </w:rPr>
        <w:t>阿里巴巴</w:t>
      </w:r>
    </w:p>
    <w:p>
      <w:pPr>
        <w:ind w:firstLine="0" w:firstLineChars="0"/>
        <w:jc w:val="left"/>
        <w:rPr>
          <w:rFonts w:asciiTheme="minorEastAsia" w:hAnsiTheme="minorEastAsia"/>
          <w:sz w:val="21"/>
          <w:szCs w:val="21"/>
        </w:rPr>
      </w:pPr>
      <w:r>
        <w:rPr>
          <w:rFonts w:hint="eastAsia" w:asciiTheme="minorEastAsia" w:hAnsiTheme="minorEastAsia"/>
          <w:sz w:val="21"/>
          <w:szCs w:val="21"/>
        </w:rPr>
        <w:t>百度</w:t>
      </w:r>
    </w:p>
    <w:p>
      <w:pPr>
        <w:ind w:firstLine="0" w:firstLineChars="0"/>
        <w:jc w:val="left"/>
        <w:rPr>
          <w:rFonts w:asciiTheme="minorEastAsia" w:hAnsiTheme="minorEastAsia"/>
          <w:sz w:val="21"/>
          <w:szCs w:val="21"/>
        </w:rPr>
      </w:pPr>
      <w:r>
        <w:rPr>
          <w:rFonts w:hint="eastAsia" w:asciiTheme="minorEastAsia" w:hAnsiTheme="minorEastAsia"/>
          <w:sz w:val="21"/>
          <w:szCs w:val="21"/>
        </w:rPr>
        <w:t>网之易</w:t>
      </w:r>
    </w:p>
    <w:p>
      <w:pPr>
        <w:ind w:firstLine="0" w:firstLineChars="0"/>
        <w:jc w:val="left"/>
        <w:rPr>
          <w:rFonts w:asciiTheme="minorEastAsia" w:hAnsiTheme="minorEastAsia"/>
          <w:sz w:val="21"/>
          <w:szCs w:val="21"/>
        </w:rPr>
      </w:pPr>
      <w:r>
        <w:rPr>
          <w:rFonts w:hint="eastAsia" w:asciiTheme="minorEastAsia" w:hAnsiTheme="minorEastAsia"/>
          <w:sz w:val="21"/>
          <w:szCs w:val="21"/>
        </w:rPr>
        <w:t>今日头条</w:t>
      </w:r>
    </w:p>
    <w:p>
      <w:pPr>
        <w:ind w:firstLine="0" w:firstLineChars="0"/>
        <w:jc w:val="left"/>
        <w:rPr>
          <w:rFonts w:asciiTheme="minorEastAsia" w:hAnsiTheme="minorEastAsia"/>
          <w:sz w:val="21"/>
          <w:szCs w:val="21"/>
        </w:rPr>
      </w:pPr>
      <w:r>
        <w:rPr>
          <w:rFonts w:hint="eastAsia" w:asciiTheme="minorEastAsia" w:hAnsiTheme="minorEastAsia"/>
          <w:sz w:val="21"/>
          <w:szCs w:val="21"/>
        </w:rPr>
        <w:t>抖音</w:t>
      </w:r>
    </w:p>
    <w:p>
      <w:pPr>
        <w:ind w:firstLine="0" w:firstLineChars="0"/>
        <w:jc w:val="left"/>
        <w:rPr>
          <w:rFonts w:asciiTheme="minorEastAsia" w:hAnsiTheme="minorEastAsia"/>
          <w:sz w:val="21"/>
          <w:szCs w:val="21"/>
        </w:rPr>
      </w:pPr>
      <w:r>
        <w:rPr>
          <w:rFonts w:hint="eastAsia" w:asciiTheme="minorEastAsia" w:hAnsiTheme="minorEastAsia"/>
          <w:sz w:val="21"/>
          <w:szCs w:val="21"/>
        </w:rPr>
        <w:t>火山小视频</w:t>
      </w:r>
    </w:p>
    <w:p>
      <w:pPr>
        <w:ind w:firstLine="0" w:firstLineChars="0"/>
        <w:jc w:val="left"/>
        <w:rPr>
          <w:rFonts w:asciiTheme="minorEastAsia" w:hAnsiTheme="minorEastAsia"/>
          <w:sz w:val="21"/>
          <w:szCs w:val="21"/>
        </w:rPr>
      </w:pPr>
      <w:r>
        <w:rPr>
          <w:rFonts w:hint="eastAsia" w:asciiTheme="minorEastAsia" w:hAnsiTheme="minorEastAsia"/>
          <w:sz w:val="21"/>
          <w:szCs w:val="21"/>
        </w:rPr>
        <w:t>新浪</w:t>
      </w:r>
    </w:p>
    <w:p>
      <w:pPr>
        <w:ind w:firstLine="0" w:firstLineChars="0"/>
        <w:jc w:val="left"/>
        <w:rPr>
          <w:rFonts w:asciiTheme="minorEastAsia" w:hAnsiTheme="minorEastAsia"/>
          <w:sz w:val="21"/>
          <w:szCs w:val="21"/>
        </w:rPr>
      </w:pPr>
      <w:r>
        <w:rPr>
          <w:rFonts w:hint="eastAsia" w:asciiTheme="minorEastAsia" w:hAnsiTheme="minorEastAsia"/>
          <w:sz w:val="21"/>
          <w:szCs w:val="21"/>
        </w:rPr>
        <w:t>新浪微博</w:t>
      </w:r>
    </w:p>
    <w:p>
      <w:pPr>
        <w:ind w:firstLine="0" w:firstLineChars="0"/>
        <w:jc w:val="left"/>
        <w:rPr>
          <w:rFonts w:asciiTheme="minorEastAsia" w:hAnsiTheme="minorEastAsia"/>
          <w:sz w:val="21"/>
          <w:szCs w:val="21"/>
        </w:rPr>
      </w:pPr>
      <w:r>
        <w:rPr>
          <w:rFonts w:hint="eastAsia" w:asciiTheme="minorEastAsia" w:hAnsiTheme="minorEastAsia"/>
          <w:sz w:val="21"/>
          <w:szCs w:val="21"/>
        </w:rPr>
        <w:t>京东</w:t>
      </w:r>
    </w:p>
    <w:p>
      <w:pPr>
        <w:ind w:firstLine="0" w:firstLineChars="0"/>
        <w:jc w:val="left"/>
        <w:rPr>
          <w:rFonts w:asciiTheme="minorEastAsia" w:hAnsiTheme="minorEastAsia"/>
          <w:sz w:val="21"/>
          <w:szCs w:val="21"/>
        </w:rPr>
      </w:pPr>
      <w:r>
        <w:rPr>
          <w:rFonts w:hint="eastAsia" w:asciiTheme="minorEastAsia" w:hAnsiTheme="minorEastAsia"/>
          <w:sz w:val="21"/>
          <w:szCs w:val="21"/>
        </w:rPr>
        <w:t>美团</w:t>
      </w:r>
    </w:p>
    <w:p>
      <w:pPr>
        <w:ind w:firstLine="0" w:firstLineChars="0"/>
        <w:jc w:val="left"/>
        <w:rPr>
          <w:rFonts w:asciiTheme="minorEastAsia" w:hAnsiTheme="minorEastAsia"/>
          <w:sz w:val="21"/>
          <w:szCs w:val="21"/>
        </w:rPr>
      </w:pPr>
      <w:r>
        <w:rPr>
          <w:rFonts w:hint="eastAsia" w:asciiTheme="minorEastAsia" w:hAnsiTheme="minorEastAsia"/>
          <w:sz w:val="21"/>
          <w:szCs w:val="21"/>
        </w:rPr>
        <w:t>拼多多</w:t>
      </w:r>
    </w:p>
    <w:p>
      <w:pPr>
        <w:ind w:firstLine="0" w:firstLineChars="0"/>
        <w:jc w:val="left"/>
        <w:rPr>
          <w:rFonts w:asciiTheme="minorEastAsia" w:hAnsiTheme="minorEastAsia"/>
          <w:sz w:val="21"/>
          <w:szCs w:val="21"/>
        </w:rPr>
      </w:pPr>
      <w:r>
        <w:rPr>
          <w:rFonts w:hint="eastAsia" w:asciiTheme="minorEastAsia" w:hAnsiTheme="minorEastAsia"/>
          <w:sz w:val="21"/>
          <w:szCs w:val="21"/>
        </w:rPr>
        <w:t>顺丰速运</w:t>
      </w:r>
    </w:p>
    <w:p>
      <w:pPr>
        <w:ind w:firstLine="0" w:firstLineChars="0"/>
        <w:jc w:val="left"/>
        <w:rPr>
          <w:rFonts w:asciiTheme="minorEastAsia" w:hAnsiTheme="minorEastAsia"/>
          <w:sz w:val="21"/>
          <w:szCs w:val="21"/>
        </w:rPr>
      </w:pPr>
      <w:r>
        <w:rPr>
          <w:rFonts w:hint="eastAsia" w:asciiTheme="minorEastAsia" w:hAnsiTheme="minorEastAsia"/>
          <w:sz w:val="21"/>
          <w:szCs w:val="21"/>
        </w:rPr>
        <w:t>苏宁易购</w:t>
      </w:r>
    </w:p>
    <w:p>
      <w:pPr>
        <w:ind w:firstLine="0" w:firstLineChars="0"/>
        <w:jc w:val="left"/>
        <w:rPr>
          <w:rFonts w:asciiTheme="minorEastAsia" w:hAnsiTheme="minorEastAsia"/>
          <w:sz w:val="21"/>
          <w:szCs w:val="21"/>
        </w:rPr>
      </w:pPr>
      <w:r>
        <w:rPr>
          <w:rFonts w:hint="eastAsia" w:asciiTheme="minorEastAsia" w:hAnsiTheme="minorEastAsia"/>
          <w:sz w:val="21"/>
          <w:szCs w:val="21"/>
        </w:rPr>
        <w:t>魅族</w:t>
      </w:r>
    </w:p>
    <w:p>
      <w:pPr>
        <w:ind w:firstLine="0" w:firstLineChars="0"/>
        <w:jc w:val="left"/>
        <w:rPr>
          <w:rFonts w:asciiTheme="minorEastAsia" w:hAnsiTheme="minorEastAsia"/>
          <w:sz w:val="21"/>
          <w:szCs w:val="21"/>
        </w:rPr>
      </w:pPr>
      <w:r>
        <w:rPr>
          <w:rFonts w:hint="eastAsia" w:asciiTheme="minorEastAsia" w:hAnsiTheme="minorEastAsia"/>
          <w:sz w:val="21"/>
          <w:szCs w:val="21"/>
        </w:rPr>
        <w:t>YY直播</w:t>
      </w:r>
    </w:p>
    <w:p>
      <w:pPr>
        <w:ind w:firstLine="0" w:firstLineChars="0"/>
        <w:jc w:val="left"/>
        <w:rPr>
          <w:rFonts w:asciiTheme="minorEastAsia" w:hAnsiTheme="minorEastAsia"/>
          <w:sz w:val="21"/>
          <w:szCs w:val="21"/>
        </w:rPr>
      </w:pPr>
      <w:r>
        <w:rPr>
          <w:rFonts w:hint="eastAsia" w:asciiTheme="minorEastAsia" w:hAnsiTheme="minorEastAsia"/>
          <w:sz w:val="21"/>
          <w:szCs w:val="21"/>
        </w:rPr>
        <w:t>虎牙直播</w:t>
      </w:r>
    </w:p>
    <w:p>
      <w:pPr>
        <w:ind w:firstLine="0" w:firstLineChars="0"/>
        <w:jc w:val="left"/>
        <w:rPr>
          <w:rFonts w:asciiTheme="minorEastAsia" w:hAnsiTheme="minorEastAsia"/>
          <w:sz w:val="21"/>
          <w:szCs w:val="21"/>
        </w:rPr>
      </w:pPr>
      <w:r>
        <w:rPr>
          <w:rFonts w:hint="eastAsia" w:asciiTheme="minorEastAsia" w:hAnsiTheme="minorEastAsia"/>
          <w:sz w:val="21"/>
          <w:szCs w:val="21"/>
        </w:rPr>
        <w:t>斗鱼直播</w:t>
      </w:r>
    </w:p>
    <w:p>
      <w:pPr>
        <w:ind w:firstLine="0" w:firstLineChars="0"/>
        <w:jc w:val="left"/>
        <w:rPr>
          <w:rFonts w:asciiTheme="minorEastAsia" w:hAnsiTheme="minorEastAsia"/>
          <w:sz w:val="21"/>
          <w:szCs w:val="21"/>
        </w:rPr>
      </w:pPr>
      <w:r>
        <w:rPr>
          <w:rFonts w:hint="eastAsia" w:asciiTheme="minorEastAsia" w:hAnsiTheme="minorEastAsia"/>
          <w:sz w:val="21"/>
          <w:szCs w:val="21"/>
        </w:rPr>
        <w:t>花椒直播</w:t>
      </w:r>
    </w:p>
    <w:p>
      <w:pPr>
        <w:ind w:firstLine="0" w:firstLineChars="0"/>
        <w:jc w:val="left"/>
        <w:rPr>
          <w:rFonts w:asciiTheme="minorEastAsia" w:hAnsiTheme="minorEastAsia"/>
          <w:sz w:val="21"/>
          <w:szCs w:val="21"/>
        </w:rPr>
      </w:pPr>
      <w:r>
        <w:rPr>
          <w:rFonts w:hint="eastAsia" w:asciiTheme="minorEastAsia" w:hAnsiTheme="minorEastAsia"/>
          <w:sz w:val="21"/>
          <w:szCs w:val="21"/>
        </w:rPr>
        <w:t>么么直播</w:t>
      </w:r>
    </w:p>
    <w:p>
      <w:pPr>
        <w:ind w:firstLine="0" w:firstLineChars="0"/>
        <w:jc w:val="left"/>
        <w:rPr>
          <w:rFonts w:asciiTheme="minorEastAsia" w:hAnsiTheme="minorEastAsia"/>
          <w:sz w:val="21"/>
          <w:szCs w:val="21"/>
        </w:rPr>
      </w:pPr>
      <w:r>
        <w:rPr>
          <w:rFonts w:hint="eastAsia" w:asciiTheme="minorEastAsia" w:hAnsiTheme="minorEastAsia"/>
          <w:sz w:val="21"/>
          <w:szCs w:val="21"/>
        </w:rPr>
        <w:t>快手直播</w:t>
      </w:r>
    </w:p>
    <w:p>
      <w:pPr>
        <w:ind w:firstLine="0" w:firstLineChars="0"/>
        <w:jc w:val="left"/>
        <w:rPr>
          <w:rFonts w:asciiTheme="minorEastAsia" w:hAnsiTheme="minorEastAsia"/>
          <w:sz w:val="21"/>
          <w:szCs w:val="21"/>
        </w:rPr>
      </w:pPr>
      <w:r>
        <w:rPr>
          <w:rFonts w:hint="eastAsia" w:asciiTheme="minorEastAsia" w:hAnsiTheme="minorEastAsia"/>
          <w:sz w:val="21"/>
          <w:szCs w:val="21"/>
        </w:rPr>
        <w:t>映客直播</w:t>
      </w:r>
    </w:p>
    <w:p>
      <w:pPr>
        <w:ind w:firstLine="0" w:firstLineChars="0"/>
        <w:jc w:val="left"/>
        <w:rPr>
          <w:rFonts w:asciiTheme="minorEastAsia" w:hAnsiTheme="minorEastAsia"/>
          <w:sz w:val="21"/>
          <w:szCs w:val="21"/>
        </w:rPr>
      </w:pPr>
      <w:r>
        <w:rPr>
          <w:rFonts w:hint="eastAsia" w:asciiTheme="minorEastAsia" w:hAnsiTheme="minorEastAsia"/>
          <w:sz w:val="21"/>
          <w:szCs w:val="21"/>
        </w:rPr>
        <w:t>陌陌直播</w:t>
      </w:r>
    </w:p>
    <w:p>
      <w:pPr>
        <w:ind w:firstLine="0" w:firstLineChars="0"/>
        <w:jc w:val="left"/>
        <w:rPr>
          <w:rFonts w:asciiTheme="minorEastAsia" w:hAnsiTheme="minorEastAsia"/>
          <w:sz w:val="21"/>
          <w:szCs w:val="21"/>
        </w:rPr>
      </w:pPr>
      <w:r>
        <w:rPr>
          <w:rFonts w:hint="eastAsia" w:asciiTheme="minorEastAsia" w:hAnsiTheme="minorEastAsia"/>
          <w:sz w:val="21"/>
          <w:szCs w:val="21"/>
        </w:rPr>
        <w:t>酷狗</w:t>
      </w:r>
    </w:p>
    <w:p>
      <w:pPr>
        <w:ind w:firstLine="0" w:firstLineChars="0"/>
        <w:jc w:val="left"/>
        <w:rPr>
          <w:rFonts w:asciiTheme="minorEastAsia" w:hAnsiTheme="minorEastAsia"/>
          <w:sz w:val="21"/>
          <w:szCs w:val="21"/>
        </w:rPr>
      </w:pPr>
      <w:r>
        <w:rPr>
          <w:rFonts w:hint="eastAsia" w:asciiTheme="minorEastAsia" w:hAnsiTheme="minorEastAsia"/>
          <w:sz w:val="21"/>
          <w:szCs w:val="21"/>
        </w:rPr>
        <w:t>迅雷</w:t>
      </w:r>
    </w:p>
    <w:p>
      <w:pPr>
        <w:ind w:firstLine="0" w:firstLineChars="0"/>
        <w:jc w:val="left"/>
        <w:rPr>
          <w:rFonts w:asciiTheme="minorEastAsia" w:hAnsiTheme="minorEastAsia"/>
          <w:sz w:val="21"/>
          <w:szCs w:val="21"/>
        </w:rPr>
      </w:pPr>
      <w:r>
        <w:rPr>
          <w:rFonts w:hint="eastAsia" w:asciiTheme="minorEastAsia" w:hAnsiTheme="minorEastAsia"/>
          <w:sz w:val="21"/>
          <w:szCs w:val="21"/>
        </w:rPr>
        <w:t>TT语音</w:t>
      </w:r>
    </w:p>
    <w:p>
      <w:pPr>
        <w:ind w:firstLine="0" w:firstLineChars="0"/>
        <w:jc w:val="left"/>
        <w:rPr>
          <w:rFonts w:asciiTheme="minorEastAsia" w:hAnsiTheme="minorEastAsia"/>
          <w:sz w:val="21"/>
          <w:szCs w:val="21"/>
        </w:rPr>
      </w:pPr>
      <w:r>
        <w:rPr>
          <w:rFonts w:hint="eastAsia" w:asciiTheme="minorEastAsia" w:hAnsiTheme="minorEastAsia"/>
          <w:sz w:val="21"/>
          <w:szCs w:val="21"/>
        </w:rPr>
        <w:t>Hello语音</w:t>
      </w:r>
    </w:p>
    <w:p>
      <w:pPr>
        <w:ind w:firstLine="0" w:firstLineChars="0"/>
        <w:jc w:val="left"/>
        <w:rPr>
          <w:rFonts w:asciiTheme="minorEastAsia" w:hAnsiTheme="minorEastAsia"/>
          <w:sz w:val="21"/>
          <w:szCs w:val="21"/>
        </w:rPr>
      </w:pPr>
      <w:r>
        <w:rPr>
          <w:rFonts w:hint="eastAsia" w:asciiTheme="minorEastAsia" w:hAnsiTheme="minorEastAsia"/>
          <w:sz w:val="21"/>
          <w:szCs w:val="21"/>
        </w:rPr>
        <w:t>荔枝FM</w:t>
      </w:r>
    </w:p>
    <w:p>
      <w:pPr>
        <w:ind w:firstLine="0" w:firstLineChars="0"/>
        <w:jc w:val="left"/>
        <w:rPr>
          <w:rFonts w:asciiTheme="minorEastAsia" w:hAnsiTheme="minorEastAsia"/>
          <w:sz w:val="21"/>
          <w:szCs w:val="21"/>
        </w:rPr>
      </w:pPr>
      <w:r>
        <w:rPr>
          <w:rFonts w:asciiTheme="minorEastAsia" w:hAnsiTheme="minorEastAsia"/>
          <w:sz w:val="21"/>
          <w:szCs w:val="21"/>
        </w:rPr>
        <w:t>vivo</w:t>
      </w:r>
    </w:p>
    <w:p>
      <w:pPr>
        <w:ind w:firstLine="0" w:firstLineChars="0"/>
        <w:jc w:val="left"/>
        <w:rPr>
          <w:rFonts w:asciiTheme="minorEastAsia" w:hAnsiTheme="minorEastAsia"/>
          <w:sz w:val="21"/>
          <w:szCs w:val="21"/>
        </w:rPr>
      </w:pPr>
      <w:r>
        <w:rPr>
          <w:rFonts w:asciiTheme="minorEastAsia" w:hAnsiTheme="minorEastAsia"/>
          <w:sz w:val="21"/>
          <w:szCs w:val="21"/>
        </w:rPr>
        <w:t>oppo</w:t>
      </w:r>
    </w:p>
    <w:p>
      <w:pPr>
        <w:ind w:firstLine="0" w:firstLineChars="0"/>
        <w:jc w:val="left"/>
        <w:rPr>
          <w:rFonts w:asciiTheme="minorEastAsia" w:hAnsiTheme="minorEastAsia"/>
          <w:sz w:val="21"/>
          <w:szCs w:val="21"/>
        </w:rPr>
      </w:pPr>
      <w:r>
        <w:rPr>
          <w:rFonts w:hint="eastAsia" w:asciiTheme="minorEastAsia" w:hAnsiTheme="minorEastAsia"/>
          <w:sz w:val="21"/>
          <w:szCs w:val="21"/>
        </w:rPr>
        <w:t>金山WPS</w:t>
      </w:r>
    </w:p>
    <w:p>
      <w:pPr>
        <w:ind w:firstLine="0" w:firstLineChars="0"/>
        <w:jc w:val="left"/>
        <w:rPr>
          <w:rFonts w:asciiTheme="minorEastAsia" w:hAnsiTheme="minorEastAsia"/>
          <w:sz w:val="21"/>
          <w:szCs w:val="21"/>
        </w:rPr>
      </w:pPr>
      <w:r>
        <w:rPr>
          <w:rFonts w:hint="eastAsia" w:asciiTheme="minorEastAsia" w:hAnsiTheme="minorEastAsia"/>
          <w:sz w:val="21"/>
          <w:szCs w:val="21"/>
        </w:rPr>
        <w:t>搜狐</w:t>
      </w:r>
    </w:p>
    <w:p>
      <w:pPr>
        <w:ind w:firstLine="0" w:firstLineChars="0"/>
        <w:jc w:val="left"/>
        <w:rPr>
          <w:rFonts w:asciiTheme="minorEastAsia" w:hAnsiTheme="minorEastAsia"/>
          <w:sz w:val="21"/>
          <w:szCs w:val="21"/>
        </w:rPr>
      </w:pPr>
      <w:r>
        <w:rPr>
          <w:rFonts w:hint="eastAsia" w:asciiTheme="minorEastAsia" w:hAnsiTheme="minorEastAsia"/>
          <w:sz w:val="21"/>
          <w:szCs w:val="21"/>
        </w:rPr>
        <w:t>爱奇艺</w:t>
      </w:r>
    </w:p>
    <w:p>
      <w:pPr>
        <w:ind w:firstLine="0" w:firstLineChars="0"/>
        <w:jc w:val="left"/>
        <w:rPr>
          <w:rFonts w:asciiTheme="minorEastAsia" w:hAnsiTheme="minorEastAsia"/>
          <w:sz w:val="21"/>
          <w:szCs w:val="21"/>
        </w:rPr>
      </w:pPr>
      <w:r>
        <w:rPr>
          <w:rFonts w:hint="eastAsia" w:asciiTheme="minorEastAsia" w:hAnsiTheme="minorEastAsia"/>
          <w:sz w:val="21"/>
          <w:szCs w:val="21"/>
        </w:rPr>
        <w:t>哔哩哔哩</w:t>
      </w:r>
    </w:p>
    <w:p>
      <w:pPr>
        <w:ind w:firstLine="0" w:firstLineChars="0"/>
        <w:jc w:val="left"/>
        <w:rPr>
          <w:rFonts w:asciiTheme="minorEastAsia" w:hAnsiTheme="minorEastAsia"/>
          <w:sz w:val="21"/>
          <w:szCs w:val="21"/>
        </w:rPr>
      </w:pPr>
      <w:r>
        <w:rPr>
          <w:rFonts w:asciiTheme="minorEastAsia" w:hAnsiTheme="minorEastAsia"/>
          <w:sz w:val="21"/>
          <w:szCs w:val="21"/>
        </w:rPr>
        <w:t>UC</w:t>
      </w:r>
    </w:p>
    <w:p>
      <w:pPr>
        <w:ind w:firstLine="0" w:firstLineChars="0"/>
        <w:jc w:val="left"/>
        <w:rPr>
          <w:rFonts w:asciiTheme="minorEastAsia" w:hAnsiTheme="minorEastAsia"/>
          <w:sz w:val="21"/>
          <w:szCs w:val="21"/>
        </w:rPr>
      </w:pPr>
      <w:r>
        <w:rPr>
          <w:rFonts w:hint="eastAsia" w:asciiTheme="minorEastAsia" w:hAnsiTheme="minorEastAsia"/>
          <w:sz w:val="21"/>
          <w:szCs w:val="21"/>
        </w:rPr>
        <w:t>嘀嘀</w:t>
      </w:r>
    </w:p>
    <w:p>
      <w:pPr>
        <w:ind w:firstLine="0" w:firstLineChars="0"/>
        <w:jc w:val="left"/>
        <w:rPr>
          <w:rFonts w:asciiTheme="minorEastAsia" w:hAnsiTheme="minorEastAsia"/>
          <w:sz w:val="21"/>
          <w:szCs w:val="21"/>
        </w:rPr>
      </w:pPr>
      <w:r>
        <w:rPr>
          <w:rFonts w:hint="eastAsia" w:asciiTheme="minorEastAsia" w:hAnsiTheme="minorEastAsia"/>
          <w:sz w:val="21"/>
          <w:szCs w:val="21"/>
        </w:rPr>
        <w:t>嘀嗒出行</w:t>
      </w:r>
    </w:p>
    <w:p>
      <w:pPr>
        <w:ind w:firstLine="0" w:firstLineChars="0"/>
        <w:jc w:val="left"/>
        <w:rPr>
          <w:rFonts w:asciiTheme="minorEastAsia" w:hAnsiTheme="minorEastAsia"/>
          <w:sz w:val="21"/>
          <w:szCs w:val="21"/>
        </w:rPr>
      </w:pPr>
      <w:r>
        <w:rPr>
          <w:rFonts w:hint="eastAsia" w:asciiTheme="minorEastAsia" w:hAnsiTheme="minorEastAsia"/>
          <w:sz w:val="21"/>
          <w:szCs w:val="21"/>
        </w:rPr>
        <w:t>UU跑腿</w:t>
      </w:r>
    </w:p>
    <w:p>
      <w:pPr>
        <w:ind w:firstLine="0" w:firstLineChars="0"/>
        <w:jc w:val="left"/>
        <w:rPr>
          <w:rFonts w:asciiTheme="minorEastAsia" w:hAnsiTheme="minorEastAsia"/>
          <w:sz w:val="21"/>
          <w:szCs w:val="21"/>
        </w:rPr>
      </w:pPr>
      <w:r>
        <w:rPr>
          <w:rFonts w:hint="eastAsia" w:asciiTheme="minorEastAsia" w:hAnsiTheme="minorEastAsia"/>
          <w:sz w:val="21"/>
          <w:szCs w:val="21"/>
        </w:rPr>
        <w:t>天盈九州</w:t>
      </w:r>
    </w:p>
    <w:p>
      <w:pPr>
        <w:ind w:firstLine="0" w:firstLineChars="0"/>
        <w:jc w:val="left"/>
        <w:rPr>
          <w:rFonts w:asciiTheme="minorEastAsia" w:hAnsiTheme="minorEastAsia"/>
          <w:sz w:val="21"/>
          <w:szCs w:val="21"/>
        </w:rPr>
      </w:pPr>
      <w:r>
        <w:rPr>
          <w:rFonts w:hint="eastAsia" w:asciiTheme="minorEastAsia" w:hAnsiTheme="minorEastAsia"/>
          <w:sz w:val="21"/>
          <w:szCs w:val="21"/>
        </w:rPr>
        <w:t>贝壳找房</w:t>
      </w:r>
    </w:p>
    <w:p>
      <w:pPr>
        <w:ind w:firstLine="0" w:firstLineChars="0"/>
        <w:jc w:val="left"/>
        <w:rPr>
          <w:rFonts w:asciiTheme="minorEastAsia" w:hAnsiTheme="minorEastAsia"/>
          <w:sz w:val="21"/>
          <w:szCs w:val="21"/>
        </w:rPr>
      </w:pPr>
      <w:r>
        <w:rPr>
          <w:rFonts w:hint="eastAsia" w:asciiTheme="minorEastAsia" w:hAnsiTheme="minorEastAsia"/>
          <w:sz w:val="21"/>
          <w:szCs w:val="21"/>
        </w:rPr>
        <w:t>房天下</w:t>
      </w:r>
    </w:p>
    <w:p>
      <w:pPr>
        <w:ind w:firstLine="0" w:firstLineChars="0"/>
        <w:jc w:val="left"/>
        <w:rPr>
          <w:rFonts w:asciiTheme="minorEastAsia" w:hAnsiTheme="minorEastAsia"/>
          <w:sz w:val="21"/>
          <w:szCs w:val="21"/>
        </w:rPr>
      </w:pPr>
      <w:r>
        <w:rPr>
          <w:rFonts w:hint="eastAsia" w:asciiTheme="minorEastAsia" w:hAnsiTheme="minorEastAsia"/>
          <w:sz w:val="21"/>
          <w:szCs w:val="21"/>
        </w:rPr>
        <w:t>Q房网</w:t>
      </w:r>
    </w:p>
    <w:p>
      <w:pPr>
        <w:ind w:firstLine="0" w:firstLineChars="0"/>
        <w:jc w:val="left"/>
        <w:rPr>
          <w:rFonts w:asciiTheme="minorEastAsia" w:hAnsiTheme="minorEastAsia"/>
          <w:sz w:val="21"/>
          <w:szCs w:val="21"/>
        </w:rPr>
      </w:pPr>
      <w:r>
        <w:rPr>
          <w:rFonts w:hint="eastAsia" w:asciiTheme="minorEastAsia" w:hAnsiTheme="minorEastAsia"/>
          <w:sz w:val="21"/>
          <w:szCs w:val="21"/>
        </w:rPr>
        <w:t>一起住好房</w:t>
      </w:r>
    </w:p>
    <w:p>
      <w:pPr>
        <w:ind w:firstLine="0" w:firstLineChars="0"/>
        <w:jc w:val="left"/>
        <w:rPr>
          <w:rFonts w:asciiTheme="minorEastAsia" w:hAnsiTheme="minorEastAsia"/>
          <w:sz w:val="21"/>
          <w:szCs w:val="21"/>
        </w:rPr>
      </w:pPr>
      <w:r>
        <w:rPr>
          <w:rFonts w:hint="eastAsia" w:asciiTheme="minorEastAsia" w:hAnsiTheme="minorEastAsia"/>
          <w:sz w:val="21"/>
          <w:szCs w:val="21"/>
        </w:rPr>
        <w:t>瓜子二手车</w:t>
      </w:r>
    </w:p>
    <w:p>
      <w:pPr>
        <w:ind w:firstLine="0" w:firstLineChars="0"/>
        <w:jc w:val="left"/>
        <w:rPr>
          <w:rFonts w:asciiTheme="minorEastAsia" w:hAnsiTheme="minorEastAsia"/>
          <w:sz w:val="21"/>
          <w:szCs w:val="21"/>
        </w:rPr>
      </w:pPr>
      <w:r>
        <w:rPr>
          <w:rFonts w:hint="eastAsia" w:asciiTheme="minorEastAsia" w:hAnsiTheme="minorEastAsia"/>
          <w:sz w:val="21"/>
          <w:szCs w:val="21"/>
        </w:rPr>
        <w:t>酷溜网</w:t>
      </w:r>
    </w:p>
    <w:p>
      <w:pPr>
        <w:ind w:firstLine="0" w:firstLineChars="0"/>
        <w:jc w:val="left"/>
        <w:rPr>
          <w:rFonts w:asciiTheme="minorEastAsia" w:hAnsiTheme="minorEastAsia"/>
          <w:sz w:val="21"/>
          <w:szCs w:val="21"/>
        </w:rPr>
      </w:pPr>
      <w:r>
        <w:rPr>
          <w:rFonts w:hint="eastAsia" w:asciiTheme="minorEastAsia" w:hAnsiTheme="minorEastAsia"/>
          <w:sz w:val="21"/>
          <w:szCs w:val="21"/>
        </w:rPr>
        <w:t>珍爱网</w:t>
      </w:r>
    </w:p>
    <w:p>
      <w:pPr>
        <w:ind w:firstLine="0" w:firstLineChars="0"/>
        <w:jc w:val="left"/>
        <w:rPr>
          <w:rFonts w:asciiTheme="minorEastAsia" w:hAnsiTheme="minorEastAsia"/>
          <w:sz w:val="21"/>
          <w:szCs w:val="21"/>
        </w:rPr>
      </w:pPr>
      <w:r>
        <w:rPr>
          <w:rFonts w:hint="eastAsia" w:asciiTheme="minorEastAsia" w:hAnsiTheme="minorEastAsia"/>
          <w:sz w:val="21"/>
          <w:szCs w:val="21"/>
        </w:rPr>
        <w:t>完美世界</w:t>
      </w:r>
    </w:p>
    <w:p>
      <w:pPr>
        <w:ind w:firstLine="0" w:firstLineChars="0"/>
        <w:jc w:val="left"/>
        <w:rPr>
          <w:rFonts w:asciiTheme="minorEastAsia" w:hAnsiTheme="minorEastAsia"/>
          <w:sz w:val="21"/>
          <w:szCs w:val="21"/>
        </w:rPr>
      </w:pPr>
      <w:r>
        <w:rPr>
          <w:rFonts w:hint="eastAsia" w:asciiTheme="minorEastAsia" w:hAnsiTheme="minorEastAsia"/>
          <w:sz w:val="21"/>
          <w:szCs w:val="21"/>
        </w:rPr>
        <w:t>一点资讯</w:t>
      </w:r>
    </w:p>
    <w:p>
      <w:pPr>
        <w:ind w:firstLine="0" w:firstLineChars="0"/>
        <w:jc w:val="left"/>
        <w:rPr>
          <w:rFonts w:asciiTheme="minorEastAsia" w:hAnsiTheme="minorEastAsia"/>
          <w:sz w:val="21"/>
          <w:szCs w:val="21"/>
        </w:rPr>
      </w:pPr>
      <w:r>
        <w:rPr>
          <w:rFonts w:hint="eastAsia" w:asciiTheme="minorEastAsia" w:hAnsiTheme="minorEastAsia"/>
          <w:sz w:val="21"/>
          <w:szCs w:val="21"/>
        </w:rPr>
        <w:t>优贝在线</w:t>
      </w:r>
    </w:p>
    <w:p>
      <w:pPr>
        <w:ind w:firstLine="0" w:firstLineChars="0"/>
        <w:jc w:val="left"/>
        <w:rPr>
          <w:rFonts w:asciiTheme="minorEastAsia" w:hAnsiTheme="minorEastAsia"/>
          <w:sz w:val="21"/>
          <w:szCs w:val="21"/>
        </w:rPr>
      </w:pPr>
      <w:r>
        <w:rPr>
          <w:rFonts w:hint="eastAsia" w:asciiTheme="minorEastAsia" w:hAnsiTheme="minorEastAsia"/>
          <w:sz w:val="21"/>
          <w:szCs w:val="21"/>
        </w:rPr>
        <w:t>智联招聘</w:t>
      </w:r>
    </w:p>
    <w:p>
      <w:pPr>
        <w:ind w:firstLine="0" w:firstLineChars="0"/>
        <w:jc w:val="left"/>
        <w:rPr>
          <w:rFonts w:asciiTheme="minorEastAsia" w:hAnsiTheme="minorEastAsia"/>
          <w:sz w:val="21"/>
          <w:szCs w:val="21"/>
        </w:rPr>
      </w:pPr>
      <w:r>
        <w:rPr>
          <w:rFonts w:hint="eastAsia" w:asciiTheme="minorEastAsia" w:hAnsiTheme="minorEastAsia"/>
          <w:sz w:val="21"/>
          <w:szCs w:val="21"/>
        </w:rPr>
        <w:t>奇虎360</w:t>
      </w:r>
    </w:p>
    <w:p>
      <w:pPr>
        <w:ind w:firstLine="0" w:firstLineChars="0"/>
        <w:jc w:val="left"/>
        <w:rPr>
          <w:rFonts w:asciiTheme="minorEastAsia" w:hAnsiTheme="minorEastAsia"/>
          <w:sz w:val="21"/>
          <w:szCs w:val="21"/>
        </w:rPr>
      </w:pPr>
      <w:r>
        <w:rPr>
          <w:rFonts w:hint="eastAsia" w:asciiTheme="minorEastAsia" w:hAnsiTheme="minorEastAsia"/>
          <w:sz w:val="21"/>
          <w:szCs w:val="21"/>
        </w:rPr>
        <w:t>绿盟</w:t>
      </w:r>
    </w:p>
    <w:p>
      <w:pPr>
        <w:ind w:firstLine="0" w:firstLineChars="0"/>
        <w:jc w:val="left"/>
        <w:rPr>
          <w:rFonts w:asciiTheme="minorEastAsia" w:hAnsiTheme="minorEastAsia"/>
          <w:sz w:val="21"/>
          <w:szCs w:val="21"/>
        </w:rPr>
      </w:pPr>
      <w:r>
        <w:rPr>
          <w:rFonts w:hint="eastAsia" w:asciiTheme="minorEastAsia" w:hAnsiTheme="minorEastAsia"/>
          <w:sz w:val="21"/>
          <w:szCs w:val="21"/>
        </w:rPr>
        <w:t>亚信安全</w:t>
      </w:r>
    </w:p>
    <w:p>
      <w:pPr>
        <w:ind w:firstLine="0" w:firstLineChars="0"/>
        <w:jc w:val="left"/>
        <w:rPr>
          <w:rFonts w:asciiTheme="minorEastAsia" w:hAnsiTheme="minorEastAsia"/>
          <w:sz w:val="21"/>
          <w:szCs w:val="21"/>
        </w:rPr>
      </w:pPr>
      <w:r>
        <w:rPr>
          <w:rFonts w:hint="eastAsia" w:asciiTheme="minorEastAsia" w:hAnsiTheme="minorEastAsia"/>
          <w:sz w:val="21"/>
          <w:szCs w:val="21"/>
        </w:rPr>
        <w:t>奇安信</w:t>
      </w:r>
    </w:p>
    <w:p>
      <w:pPr>
        <w:ind w:firstLine="0" w:firstLineChars="0"/>
        <w:jc w:val="left"/>
        <w:rPr>
          <w:rFonts w:asciiTheme="minorEastAsia" w:hAnsiTheme="minorEastAsia"/>
          <w:sz w:val="21"/>
          <w:szCs w:val="21"/>
        </w:rPr>
      </w:pPr>
      <w:r>
        <w:rPr>
          <w:rFonts w:hint="eastAsia" w:asciiTheme="minorEastAsia" w:hAnsiTheme="minorEastAsia"/>
          <w:sz w:val="21"/>
          <w:szCs w:val="21"/>
        </w:rPr>
        <w:t>安恒</w:t>
      </w:r>
    </w:p>
    <w:p>
      <w:pPr>
        <w:ind w:firstLine="0" w:firstLineChars="0"/>
        <w:jc w:val="left"/>
        <w:rPr>
          <w:rFonts w:asciiTheme="minorEastAsia" w:hAnsiTheme="minorEastAsia"/>
          <w:sz w:val="21"/>
          <w:szCs w:val="21"/>
        </w:rPr>
      </w:pPr>
      <w:r>
        <w:rPr>
          <w:rFonts w:hint="eastAsia" w:asciiTheme="minorEastAsia" w:hAnsiTheme="minorEastAsia"/>
          <w:sz w:val="21"/>
          <w:szCs w:val="21"/>
        </w:rPr>
        <w:t>任子行</w:t>
      </w:r>
    </w:p>
    <w:p>
      <w:pPr>
        <w:ind w:firstLine="0" w:firstLineChars="0"/>
        <w:jc w:val="left"/>
        <w:rPr>
          <w:rFonts w:asciiTheme="minorEastAsia" w:hAnsiTheme="minorEastAsia"/>
          <w:sz w:val="21"/>
          <w:szCs w:val="21"/>
        </w:rPr>
      </w:pPr>
      <w:r>
        <w:rPr>
          <w:rFonts w:hint="eastAsia" w:asciiTheme="minorEastAsia" w:hAnsiTheme="minorEastAsia"/>
          <w:sz w:val="21"/>
          <w:szCs w:val="21"/>
        </w:rPr>
        <w:t>天融信</w:t>
      </w:r>
    </w:p>
    <w:p>
      <w:pPr>
        <w:ind w:firstLine="0" w:firstLineChars="0"/>
        <w:jc w:val="left"/>
        <w:rPr>
          <w:rFonts w:asciiTheme="minorEastAsia" w:hAnsiTheme="minorEastAsia"/>
          <w:sz w:val="21"/>
          <w:szCs w:val="21"/>
        </w:rPr>
      </w:pPr>
      <w:r>
        <w:rPr>
          <w:rFonts w:hint="eastAsia" w:asciiTheme="minorEastAsia" w:hAnsiTheme="minorEastAsia"/>
          <w:sz w:val="21"/>
          <w:szCs w:val="21"/>
        </w:rPr>
        <w:t>新华三</w:t>
      </w:r>
    </w:p>
    <w:p>
      <w:pPr>
        <w:ind w:firstLine="0" w:firstLineChars="0"/>
        <w:jc w:val="left"/>
        <w:rPr>
          <w:rFonts w:asciiTheme="minorEastAsia" w:hAnsiTheme="minorEastAsia"/>
          <w:sz w:val="21"/>
          <w:szCs w:val="21"/>
        </w:rPr>
      </w:pPr>
      <w:r>
        <w:rPr>
          <w:rFonts w:hint="eastAsia" w:asciiTheme="minorEastAsia" w:hAnsiTheme="minorEastAsia"/>
          <w:sz w:val="21"/>
          <w:szCs w:val="21"/>
        </w:rPr>
        <w:t>圣博润</w:t>
      </w:r>
    </w:p>
    <w:p>
      <w:pPr>
        <w:ind w:firstLine="0" w:firstLineChars="0"/>
        <w:jc w:val="left"/>
        <w:rPr>
          <w:rFonts w:asciiTheme="minorEastAsia" w:hAnsiTheme="minorEastAsia"/>
          <w:sz w:val="21"/>
          <w:szCs w:val="21"/>
        </w:rPr>
      </w:pPr>
      <w:r>
        <w:rPr>
          <w:rFonts w:hint="eastAsia" w:asciiTheme="minorEastAsia" w:hAnsiTheme="minorEastAsia"/>
          <w:sz w:val="21"/>
          <w:szCs w:val="21"/>
        </w:rPr>
        <w:t>炫音网络</w:t>
      </w:r>
    </w:p>
    <w:p>
      <w:pPr>
        <w:ind w:firstLine="0" w:firstLineChars="0"/>
        <w:jc w:val="left"/>
        <w:rPr>
          <w:rFonts w:asciiTheme="minorEastAsia" w:hAnsiTheme="minorEastAsia"/>
          <w:sz w:val="21"/>
          <w:szCs w:val="21"/>
        </w:rPr>
      </w:pPr>
      <w:r>
        <w:rPr>
          <w:rFonts w:hint="eastAsia" w:asciiTheme="minorEastAsia" w:hAnsiTheme="minorEastAsia"/>
          <w:sz w:val="21"/>
          <w:szCs w:val="21"/>
        </w:rPr>
        <w:t>友迪资讯</w:t>
      </w:r>
    </w:p>
    <w:p>
      <w:pPr>
        <w:ind w:firstLine="0" w:firstLineChars="0"/>
        <w:jc w:val="left"/>
        <w:rPr>
          <w:rFonts w:asciiTheme="minorEastAsia" w:hAnsiTheme="minorEastAsia"/>
          <w:sz w:val="21"/>
          <w:szCs w:val="21"/>
        </w:rPr>
      </w:pPr>
      <w:r>
        <w:rPr>
          <w:rFonts w:hint="eastAsia" w:asciiTheme="minorEastAsia" w:hAnsiTheme="minorEastAsia"/>
          <w:sz w:val="21"/>
          <w:szCs w:val="21"/>
        </w:rPr>
        <w:t>远光软件</w:t>
      </w:r>
    </w:p>
    <w:p>
      <w:pPr>
        <w:ind w:firstLine="0" w:firstLineChars="0"/>
        <w:jc w:val="left"/>
        <w:rPr>
          <w:rFonts w:asciiTheme="minorEastAsia" w:hAnsiTheme="minorEastAsia"/>
          <w:sz w:val="21"/>
          <w:szCs w:val="21"/>
        </w:rPr>
      </w:pPr>
      <w:r>
        <w:rPr>
          <w:rFonts w:hint="eastAsia" w:asciiTheme="minorEastAsia" w:hAnsiTheme="minorEastAsia"/>
          <w:sz w:val="21"/>
          <w:szCs w:val="21"/>
        </w:rPr>
        <w:t>国网思极网安科技（北京）有限公司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合肥天帷信息安全技术技术有限公司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辽宁浪潮创新信息技术有限公司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深圳市易图资讯股份有限公司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深圳市中手游网络科技有限公司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广州艾媒数聚信息咨询股份有限公司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韶关家园传媒有限公司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广东米果传媒有限公司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茂名市群英网络有限公司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广东力通网络科技有限公司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广州九尾信息科技有限公司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东莞市阳光网络信息有限公司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有米科技股份有限公司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全通教育集团（广东）股份有限公司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广东能龙教育股份有限公司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中山市读书郎电子有限公司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东方财富信息股份有限公司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上海基分文化传播有限公司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上海寻梦信息技术有限公司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上海喜马拉雅网络科技有限公司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万达信息股份有限公司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上海观安信息技术股份有限公司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行吟信息科技（上海）有限公司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上海浦东软件平台有限公司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上海纽盾科技股份有限公司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上海阅文信息技术有限公司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波克科技股份有限公司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上海景域文化传播有限公司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上海星艾网络科技有限公司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上海霆懋科技服务有限公司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上海东方网股份有限公司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上海安阖在创信息科技有限公司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上海兴动实业有限公司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上海谋乐网络科技有限公司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上海驭胜信息技术有限公司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上海御盾信息科技有限公司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上海成蹊信息科技有限公司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杭州米络科技有限公司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北京小唱科技有限公司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北京和讯在线信息咨询服务有限公司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北京光宇在线科技有限责任公司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北京球秘科技有限公司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北京卓越晨星科技有限公司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北京白鹭世纪科技股份有限公司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北京邦得鼎盛科技有限公司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北京智启蓝墨信息技术有限公司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北京瓦力网络科技有限公司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北京文网亿联科技有限公司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北京中润互联信息技术有限公司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北京思享时光科技有限公司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盐城市鹤鸣亭传媒股份有限公司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常州大学常州信息工程学院</w:t>
      </w:r>
    </w:p>
    <w:p>
      <w:pPr>
        <w:ind w:firstLine="0" w:firstLineChars="0"/>
        <w:jc w:val="left"/>
        <w:rPr>
          <w:rFonts w:asciiTheme="minorEastAsia" w:hAnsiTheme="minorEastAsia"/>
          <w:sz w:val="21"/>
          <w:szCs w:val="21"/>
        </w:rPr>
      </w:pPr>
      <w:r>
        <w:rPr>
          <w:rFonts w:hint="eastAsia" w:asciiTheme="minorEastAsia" w:hAnsiTheme="minorEastAsia"/>
          <w:sz w:val="21"/>
          <w:szCs w:val="21"/>
        </w:rPr>
        <w:t>常州经开区今创集团</w:t>
      </w:r>
    </w:p>
    <w:p>
      <w:pPr>
        <w:ind w:firstLine="0" w:firstLineChars="0"/>
        <w:jc w:val="left"/>
        <w:rPr>
          <w:rFonts w:asciiTheme="minorEastAsia" w:hAnsiTheme="minorEastAsia"/>
          <w:sz w:val="21"/>
          <w:szCs w:val="21"/>
        </w:rPr>
      </w:pPr>
      <w:r>
        <w:rPr>
          <w:rFonts w:hint="eastAsia" w:asciiTheme="minorEastAsia" w:hAnsiTheme="minorEastAsia"/>
          <w:sz w:val="21"/>
          <w:szCs w:val="21"/>
        </w:rPr>
        <w:t>江苏翠起信息科技有限公司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四川安洵信息技术有限公司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四川麻辣社区网络传媒有限公司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成都思维世纪科技有限责任公司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北京智游网安科技有限公司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成都创信华通信息技术有限公司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成都西维数码科技有限公司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成都市锐信安信息安全技术有限公司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成都安美勤信息技术股份有限公司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成都吉胜科技有限责任公司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亚信科技（成都）有限公司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成都卫士通信息产业股份有限公司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内蒙古信元网络安全技术股份有限公司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黑龙江安信与诚科技开发有限公司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黑龙江亿林网络股份有限公司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哈尔滨安天科技集团股份有限公司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哈尔滨蓝易科技有限公司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哈尔滨创新远航科技有限公司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武汉市多比特信息科技有限公司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武汉楚天优游网络科技有限公司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湖北盛天网络技术股份有限公司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安域等保测评公司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贵阳金蜂星际网络科技有限公司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贵州盛世合元科技发展有限公司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贵州数博谷信息技术有限责任公司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贵阳宏图科技有限公司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大连海川云天信息科技有限公司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中冶葫芦岛有色金属集团有限公司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海城金航网络科技有限公司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浪潮创新科技股份有限公司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辽宁北方实验室有限公司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重庆智多信息发展有限公司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重庆跃动网络技术有限公司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重庆猪八戒网络有限公司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南省鼎信信息安全等级测评有限公司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上海云辰信息科技有限公司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珠海网博信息科技股份有限公司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江苏国瑞信安科技有限公司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浙江佰安信息科技有限公司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杭州世平信息科技有限公司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湖南红网新媒体集团有限公司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福建国科信息科技有限公司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福州物联网开放实验室有限公司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福州闽盾网络与信息安全测评技术有限公司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中科锐眼（天津）科技有限公司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清众鑫科技有限公司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大同市利伟科技有限公司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大同市华立科技有限责任公司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山西联创电子信息技术有限公司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山西晋城无烟煤矿业集团有限责任公司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山西兰花科技创业股份有限公司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晋城市天狐网络信息有限公司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中创慧安科技有限公司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晋信安科技有限公司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因弗美讯科技有限公司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上海交通大学党委宣传部</w:t>
      </w:r>
    </w:p>
    <w:p>
      <w:pPr>
        <w:ind w:firstLine="0" w:firstLineChars="0"/>
        <w:jc w:val="left"/>
        <w:rPr>
          <w:rFonts w:asciiTheme="minorEastAsia" w:hAnsiTheme="minorEastAsia"/>
          <w:sz w:val="21"/>
          <w:szCs w:val="21"/>
        </w:rPr>
      </w:pPr>
      <w:r>
        <w:rPr>
          <w:rFonts w:hint="eastAsia" w:asciiTheme="minorEastAsia" w:hAnsiTheme="minorEastAsia"/>
          <w:sz w:val="21"/>
          <w:szCs w:val="21"/>
        </w:rPr>
        <w:t>天津市教育委员会</w:t>
      </w:r>
    </w:p>
    <w:p>
      <w:pPr>
        <w:ind w:firstLine="0" w:firstLineChars="0"/>
        <w:jc w:val="left"/>
        <w:rPr>
          <w:rFonts w:asciiTheme="minorEastAsia" w:hAnsiTheme="minorEastAsia"/>
          <w:sz w:val="21"/>
          <w:szCs w:val="21"/>
        </w:rPr>
      </w:pPr>
      <w:r>
        <w:rPr>
          <w:rFonts w:hint="eastAsia" w:asciiTheme="minorEastAsia" w:hAnsiTheme="minorEastAsia"/>
          <w:sz w:val="21"/>
          <w:szCs w:val="21"/>
        </w:rPr>
        <w:t>宿迁市教育局</w:t>
      </w:r>
    </w:p>
    <w:p>
      <w:pPr>
        <w:ind w:firstLine="0" w:firstLineChars="0"/>
        <w:jc w:val="left"/>
        <w:rPr>
          <w:rFonts w:asciiTheme="minorEastAsia" w:hAnsiTheme="minorEastAsia"/>
          <w:sz w:val="21"/>
          <w:szCs w:val="21"/>
        </w:rPr>
      </w:pPr>
      <w:r>
        <w:rPr>
          <w:rFonts w:hint="eastAsia" w:asciiTheme="minorEastAsia" w:hAnsiTheme="minorEastAsia"/>
          <w:sz w:val="21"/>
          <w:szCs w:val="21"/>
        </w:rPr>
        <w:t>无锡市卫生健康委员会</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内蒙古税务局</w:t>
      </w:r>
    </w:p>
    <w:p>
      <w:pPr>
        <w:ind w:firstLine="0" w:firstLineChars="0"/>
        <w:jc w:val="left"/>
        <w:rPr>
          <w:rFonts w:asciiTheme="minorEastAsia" w:hAnsiTheme="minorEastAsia"/>
          <w:sz w:val="21"/>
          <w:szCs w:val="21"/>
        </w:rPr>
      </w:pPr>
      <w:r>
        <w:rPr>
          <w:rFonts w:hint="eastAsia" w:asciiTheme="minorEastAsia" w:hAnsiTheme="minorEastAsia"/>
          <w:sz w:val="21"/>
          <w:szCs w:val="21"/>
        </w:rPr>
        <w:t>国家计算机网络应急技术处理协调中心上海分中心</w:t>
      </w:r>
    </w:p>
    <w:p>
      <w:pPr>
        <w:ind w:firstLine="0" w:firstLineChars="0"/>
        <w:jc w:val="left"/>
        <w:rPr>
          <w:rFonts w:asciiTheme="minorEastAsia" w:hAnsiTheme="minorEastAsia"/>
          <w:sz w:val="21"/>
          <w:szCs w:val="21"/>
        </w:rPr>
      </w:pPr>
      <w:r>
        <w:rPr>
          <w:rFonts w:hint="eastAsia" w:asciiTheme="minorEastAsia" w:hAnsiTheme="minorEastAsia"/>
          <w:sz w:val="21"/>
          <w:szCs w:val="21"/>
        </w:rPr>
        <w:t>上海市网络技术综合应用研究所</w:t>
      </w:r>
    </w:p>
    <w:p>
      <w:pPr>
        <w:ind w:firstLine="0" w:firstLineChars="0"/>
        <w:jc w:val="left"/>
        <w:rPr>
          <w:rFonts w:asciiTheme="minorEastAsia" w:hAnsiTheme="minorEastAsia"/>
          <w:sz w:val="21"/>
          <w:szCs w:val="21"/>
        </w:rPr>
      </w:pPr>
      <w:r>
        <w:rPr>
          <w:rFonts w:hint="eastAsia" w:asciiTheme="minorEastAsia" w:hAnsiTheme="minorEastAsia"/>
          <w:sz w:val="21"/>
          <w:szCs w:val="21"/>
        </w:rPr>
        <w:t>上海计算机软件技术开发中心</w:t>
      </w:r>
    </w:p>
    <w:p>
      <w:pPr>
        <w:ind w:firstLine="0" w:firstLineChars="0"/>
        <w:jc w:val="left"/>
        <w:rPr>
          <w:rFonts w:asciiTheme="minorEastAsia" w:hAnsiTheme="minorEastAsia"/>
          <w:sz w:val="21"/>
          <w:szCs w:val="21"/>
        </w:rPr>
      </w:pPr>
      <w:r>
        <w:rPr>
          <w:rFonts w:hint="eastAsia" w:asciiTheme="minorEastAsia" w:hAnsiTheme="minorEastAsia"/>
          <w:sz w:val="21"/>
          <w:szCs w:val="21"/>
        </w:rPr>
        <w:t>中国民航大学信息安全测评中心</w:t>
      </w:r>
    </w:p>
    <w:p>
      <w:pPr>
        <w:ind w:firstLine="0" w:firstLineChars="0"/>
        <w:jc w:val="left"/>
        <w:rPr>
          <w:rFonts w:asciiTheme="minorEastAsia" w:hAnsiTheme="minorEastAsia"/>
          <w:sz w:val="21"/>
          <w:szCs w:val="21"/>
        </w:rPr>
      </w:pPr>
      <w:r>
        <w:rPr>
          <w:rFonts w:hint="eastAsia" w:asciiTheme="minorEastAsia" w:hAnsiTheme="minorEastAsia"/>
          <w:sz w:val="21"/>
          <w:szCs w:val="21"/>
        </w:rPr>
        <w:t>广东警官学院</w:t>
      </w:r>
    </w:p>
    <w:p>
      <w:pPr>
        <w:ind w:firstLine="0" w:firstLineChars="0"/>
        <w:jc w:val="left"/>
        <w:rPr>
          <w:rFonts w:asciiTheme="minorEastAsia" w:hAnsiTheme="minorEastAsia"/>
          <w:sz w:val="21"/>
          <w:szCs w:val="21"/>
        </w:rPr>
      </w:pPr>
      <w:r>
        <w:rPr>
          <w:rFonts w:hint="eastAsia" w:asciiTheme="minorEastAsia" w:hAnsiTheme="minorEastAsia"/>
          <w:sz w:val="21"/>
          <w:szCs w:val="21"/>
        </w:rPr>
        <w:t>广东轻工业职业技术学院</w:t>
      </w:r>
    </w:p>
    <w:p>
      <w:pPr>
        <w:ind w:firstLine="0" w:firstLineChars="0"/>
        <w:jc w:val="left"/>
        <w:rPr>
          <w:rFonts w:asciiTheme="minorEastAsia" w:hAnsiTheme="minorEastAsia"/>
          <w:sz w:val="21"/>
          <w:szCs w:val="21"/>
        </w:rPr>
      </w:pPr>
      <w:r>
        <w:rPr>
          <w:rFonts w:hint="eastAsia" w:asciiTheme="minorEastAsia" w:hAnsiTheme="minorEastAsia"/>
          <w:sz w:val="21"/>
          <w:szCs w:val="21"/>
        </w:rPr>
        <w:t>广东金融学院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广州大学研究院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广州医科大学</w:t>
      </w:r>
    </w:p>
    <w:p>
      <w:pPr>
        <w:ind w:firstLine="0" w:firstLineChars="0"/>
        <w:jc w:val="left"/>
        <w:rPr>
          <w:rFonts w:asciiTheme="minorEastAsia" w:hAnsiTheme="minorEastAsia"/>
          <w:sz w:val="21"/>
          <w:szCs w:val="21"/>
        </w:rPr>
      </w:pPr>
      <w:r>
        <w:rPr>
          <w:rFonts w:hint="eastAsia" w:asciiTheme="minorEastAsia" w:hAnsiTheme="minorEastAsia"/>
          <w:sz w:val="21"/>
          <w:szCs w:val="21"/>
        </w:rPr>
        <w:t>广东药科大学</w:t>
      </w:r>
    </w:p>
    <w:p>
      <w:pPr>
        <w:ind w:firstLine="0" w:firstLineChars="0"/>
        <w:jc w:val="left"/>
        <w:rPr>
          <w:rFonts w:asciiTheme="minorEastAsia" w:hAnsiTheme="minorEastAsia"/>
          <w:sz w:val="21"/>
          <w:szCs w:val="21"/>
        </w:rPr>
      </w:pPr>
      <w:r>
        <w:rPr>
          <w:rFonts w:hint="eastAsia" w:asciiTheme="minorEastAsia" w:hAnsiTheme="minorEastAsia"/>
          <w:sz w:val="21"/>
          <w:szCs w:val="21"/>
        </w:rPr>
        <w:t>广州大学</w:t>
      </w:r>
    </w:p>
    <w:p>
      <w:pPr>
        <w:ind w:firstLine="0" w:firstLineChars="0"/>
        <w:jc w:val="left"/>
        <w:rPr>
          <w:rFonts w:asciiTheme="minorEastAsia" w:hAnsiTheme="minorEastAsia"/>
          <w:sz w:val="21"/>
          <w:szCs w:val="21"/>
        </w:rPr>
      </w:pPr>
      <w:r>
        <w:rPr>
          <w:rFonts w:hint="eastAsia" w:asciiTheme="minorEastAsia" w:hAnsiTheme="minorEastAsia"/>
          <w:sz w:val="21"/>
          <w:szCs w:val="21"/>
        </w:rPr>
        <w:t>江苏科技大学</w:t>
      </w:r>
    </w:p>
    <w:p>
      <w:pPr>
        <w:ind w:firstLine="0" w:firstLineChars="0"/>
        <w:jc w:val="left"/>
        <w:rPr>
          <w:rFonts w:asciiTheme="minorEastAsia" w:hAnsiTheme="minorEastAsia"/>
          <w:sz w:val="21"/>
          <w:szCs w:val="21"/>
        </w:rPr>
      </w:pPr>
      <w:r>
        <w:rPr>
          <w:rFonts w:hint="eastAsia" w:asciiTheme="minorEastAsia" w:hAnsiTheme="minorEastAsia"/>
          <w:sz w:val="21"/>
          <w:szCs w:val="21"/>
        </w:rPr>
        <w:t>江苏大学</w:t>
      </w:r>
    </w:p>
    <w:p>
      <w:pPr>
        <w:ind w:firstLine="0" w:firstLineChars="0"/>
        <w:jc w:val="left"/>
        <w:rPr>
          <w:rFonts w:asciiTheme="minorEastAsia" w:hAnsiTheme="minorEastAsia"/>
          <w:sz w:val="21"/>
          <w:szCs w:val="21"/>
        </w:rPr>
      </w:pPr>
      <w:r>
        <w:rPr>
          <w:rFonts w:hint="eastAsia" w:asciiTheme="minorEastAsia" w:hAnsiTheme="minorEastAsia"/>
          <w:sz w:val="21"/>
          <w:szCs w:val="21"/>
        </w:rPr>
        <w:t>宿迁学院</w:t>
      </w:r>
    </w:p>
    <w:p>
      <w:pPr>
        <w:ind w:firstLine="0" w:firstLineChars="0"/>
        <w:jc w:val="left"/>
        <w:rPr>
          <w:rFonts w:asciiTheme="minorEastAsia" w:hAnsiTheme="minorEastAsia"/>
          <w:sz w:val="21"/>
          <w:szCs w:val="21"/>
        </w:rPr>
      </w:pPr>
      <w:r>
        <w:rPr>
          <w:rFonts w:hint="eastAsia" w:asciiTheme="minorEastAsia" w:hAnsiTheme="minorEastAsia"/>
          <w:sz w:val="21"/>
          <w:szCs w:val="21"/>
        </w:rPr>
        <w:t>江苏省宿迁中学</w:t>
      </w:r>
    </w:p>
    <w:p>
      <w:pPr>
        <w:ind w:firstLine="0" w:firstLineChars="0"/>
        <w:jc w:val="left"/>
        <w:rPr>
          <w:rFonts w:asciiTheme="minorEastAsia" w:hAnsiTheme="minorEastAsia"/>
          <w:sz w:val="21"/>
          <w:szCs w:val="21"/>
        </w:rPr>
      </w:pPr>
      <w:r>
        <w:rPr>
          <w:rFonts w:hint="eastAsia" w:asciiTheme="minorEastAsia" w:hAnsiTheme="minorEastAsia"/>
          <w:sz w:val="21"/>
          <w:szCs w:val="21"/>
        </w:rPr>
        <w:t>建湖高级中学</w:t>
      </w:r>
    </w:p>
    <w:p>
      <w:pPr>
        <w:ind w:firstLine="0" w:firstLineChars="0"/>
        <w:jc w:val="left"/>
        <w:rPr>
          <w:rFonts w:asciiTheme="minorEastAsia" w:hAnsiTheme="minorEastAsia"/>
          <w:sz w:val="21"/>
          <w:szCs w:val="21"/>
        </w:rPr>
      </w:pPr>
      <w:r>
        <w:rPr>
          <w:rFonts w:hint="eastAsia" w:asciiTheme="minorEastAsia" w:hAnsiTheme="minorEastAsia"/>
          <w:sz w:val="21"/>
          <w:szCs w:val="21"/>
        </w:rPr>
        <w:t>建湖县第二中学</w:t>
      </w:r>
    </w:p>
    <w:p>
      <w:pPr>
        <w:ind w:firstLine="0" w:firstLineChars="0"/>
        <w:jc w:val="left"/>
        <w:rPr>
          <w:rFonts w:asciiTheme="minorEastAsia" w:hAnsiTheme="minorEastAsia"/>
          <w:sz w:val="21"/>
          <w:szCs w:val="21"/>
        </w:rPr>
      </w:pPr>
      <w:r>
        <w:rPr>
          <w:rFonts w:hint="eastAsia" w:asciiTheme="minorEastAsia" w:hAnsiTheme="minorEastAsia"/>
          <w:sz w:val="21"/>
          <w:szCs w:val="21"/>
        </w:rPr>
        <w:t>西华大学</w:t>
      </w:r>
    </w:p>
    <w:p>
      <w:pPr>
        <w:ind w:firstLine="0" w:firstLineChars="0"/>
        <w:jc w:val="left"/>
        <w:rPr>
          <w:rFonts w:asciiTheme="minorEastAsia" w:hAnsiTheme="minorEastAsia"/>
          <w:sz w:val="21"/>
          <w:szCs w:val="21"/>
        </w:rPr>
      </w:pPr>
      <w:r>
        <w:rPr>
          <w:rFonts w:hint="eastAsia" w:asciiTheme="minorEastAsia" w:hAnsiTheme="minorEastAsia"/>
          <w:sz w:val="21"/>
          <w:szCs w:val="21"/>
        </w:rPr>
        <w:t>吉利学院</w:t>
      </w:r>
    </w:p>
    <w:p>
      <w:pPr>
        <w:ind w:firstLine="0" w:firstLineChars="0"/>
        <w:jc w:val="left"/>
        <w:rPr>
          <w:rFonts w:asciiTheme="minorEastAsia" w:hAnsiTheme="minorEastAsia"/>
          <w:sz w:val="21"/>
          <w:szCs w:val="21"/>
        </w:rPr>
      </w:pPr>
      <w:r>
        <w:rPr>
          <w:rFonts w:hint="eastAsia" w:asciiTheme="minorEastAsia" w:hAnsiTheme="minorEastAsia"/>
          <w:sz w:val="21"/>
          <w:szCs w:val="21"/>
        </w:rPr>
        <w:t>电子科技大学成都学院</w:t>
      </w:r>
    </w:p>
    <w:p>
      <w:pPr>
        <w:ind w:firstLine="0" w:firstLineChars="0"/>
        <w:jc w:val="left"/>
        <w:rPr>
          <w:rFonts w:asciiTheme="minorEastAsia" w:hAnsiTheme="minorEastAsia"/>
          <w:sz w:val="21"/>
          <w:szCs w:val="21"/>
        </w:rPr>
      </w:pPr>
      <w:r>
        <w:rPr>
          <w:rFonts w:hint="eastAsia" w:asciiTheme="minorEastAsia" w:hAnsiTheme="minorEastAsia"/>
          <w:sz w:val="21"/>
          <w:szCs w:val="21"/>
        </w:rPr>
        <w:t>普宁职业技术学校</w:t>
      </w:r>
    </w:p>
    <w:p>
      <w:pPr>
        <w:ind w:firstLine="0" w:firstLineChars="0"/>
        <w:jc w:val="left"/>
        <w:rPr>
          <w:rFonts w:asciiTheme="minorEastAsia" w:hAnsiTheme="minorEastAsia"/>
          <w:sz w:val="21"/>
          <w:szCs w:val="21"/>
        </w:rPr>
      </w:pPr>
      <w:r>
        <w:rPr>
          <w:rFonts w:hint="eastAsia" w:asciiTheme="minorEastAsia" w:hAnsiTheme="minorEastAsia"/>
          <w:sz w:val="21"/>
          <w:szCs w:val="21"/>
        </w:rPr>
        <w:t>揭阳职业技术学院</w:t>
      </w:r>
    </w:p>
    <w:p>
      <w:pPr>
        <w:ind w:firstLine="0" w:firstLineChars="0"/>
        <w:jc w:val="left"/>
        <w:rPr>
          <w:rFonts w:asciiTheme="minorEastAsia" w:hAnsiTheme="minorEastAsia"/>
          <w:sz w:val="21"/>
          <w:szCs w:val="21"/>
        </w:rPr>
      </w:pPr>
      <w:r>
        <w:rPr>
          <w:rFonts w:hint="eastAsia" w:asciiTheme="minorEastAsia" w:hAnsiTheme="minorEastAsia"/>
          <w:sz w:val="21"/>
          <w:szCs w:val="21"/>
        </w:rPr>
        <w:t>潮汕职业技术学院</w:t>
      </w:r>
    </w:p>
    <w:p>
      <w:pPr>
        <w:ind w:firstLine="0" w:firstLineChars="0"/>
        <w:jc w:val="left"/>
        <w:rPr>
          <w:rFonts w:asciiTheme="minorEastAsia" w:hAnsiTheme="minorEastAsia"/>
          <w:sz w:val="21"/>
          <w:szCs w:val="21"/>
        </w:rPr>
      </w:pPr>
      <w:r>
        <w:rPr>
          <w:rFonts w:hint="eastAsia" w:asciiTheme="minorEastAsia" w:hAnsiTheme="minorEastAsia"/>
          <w:sz w:val="21"/>
          <w:szCs w:val="21"/>
        </w:rPr>
        <w:t>中国电信广州分公司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中国移动广东广州分公司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中国联通广州市分公司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中国电信股份有限公司揭阳分公司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中国移动通信集团广东有限公司揭阳分公司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中国联合网络通信有限公司揭阳分公司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中国联通郑州分公司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无锡移动</w:t>
      </w:r>
    </w:p>
    <w:p>
      <w:pPr>
        <w:ind w:firstLine="0" w:firstLineChars="0"/>
        <w:jc w:val="left"/>
        <w:rPr>
          <w:rFonts w:asciiTheme="minorEastAsia" w:hAnsiTheme="minorEastAsia"/>
          <w:sz w:val="21"/>
          <w:szCs w:val="21"/>
        </w:rPr>
      </w:pPr>
      <w:r>
        <w:rPr>
          <w:rFonts w:hint="eastAsia" w:asciiTheme="minorEastAsia" w:hAnsiTheme="minorEastAsia"/>
          <w:sz w:val="21"/>
          <w:szCs w:val="21"/>
        </w:rPr>
        <w:t>宿迁移动</w:t>
      </w:r>
    </w:p>
    <w:p>
      <w:pPr>
        <w:ind w:firstLine="0" w:firstLineChars="0"/>
        <w:jc w:val="left"/>
        <w:rPr>
          <w:rFonts w:asciiTheme="minorEastAsia" w:hAnsiTheme="minorEastAsia"/>
          <w:sz w:val="21"/>
          <w:szCs w:val="21"/>
        </w:rPr>
      </w:pPr>
      <w:r>
        <w:rPr>
          <w:rFonts w:hint="eastAsia" w:asciiTheme="minorEastAsia" w:hAnsiTheme="minorEastAsia"/>
          <w:sz w:val="21"/>
          <w:szCs w:val="21"/>
        </w:rPr>
        <w:t>宿迁电信</w:t>
      </w:r>
    </w:p>
    <w:p>
      <w:pPr>
        <w:ind w:firstLine="0" w:firstLineChars="0"/>
        <w:jc w:val="left"/>
        <w:rPr>
          <w:rFonts w:asciiTheme="minorEastAsia" w:hAnsiTheme="minorEastAsia"/>
          <w:sz w:val="21"/>
          <w:szCs w:val="21"/>
        </w:rPr>
      </w:pPr>
      <w:r>
        <w:rPr>
          <w:rFonts w:hint="eastAsia" w:asciiTheme="minorEastAsia" w:hAnsiTheme="minorEastAsia"/>
          <w:sz w:val="21"/>
          <w:szCs w:val="21"/>
        </w:rPr>
        <w:t>广东电网公司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广州供电局有限公司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内蒙古电力集团公司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中国人民银行宿迁分行</w:t>
      </w:r>
    </w:p>
    <w:p>
      <w:pPr>
        <w:ind w:firstLine="0" w:firstLineChars="0"/>
        <w:jc w:val="left"/>
        <w:rPr>
          <w:rFonts w:asciiTheme="minorEastAsia" w:hAnsiTheme="minorEastAsia"/>
          <w:sz w:val="21"/>
          <w:szCs w:val="21"/>
        </w:rPr>
      </w:pPr>
      <w:r>
        <w:rPr>
          <w:rFonts w:hint="eastAsia" w:asciiTheme="minorEastAsia" w:hAnsiTheme="minorEastAsia"/>
          <w:sz w:val="21"/>
          <w:szCs w:val="21"/>
        </w:rPr>
        <w:t>云南曲靖交通集团有限公司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中国铁路昆明局集团有限公司曲靖站</w:t>
      </w:r>
    </w:p>
    <w:p>
      <w:pPr>
        <w:ind w:firstLine="0" w:firstLineChars="0"/>
        <w:jc w:val="left"/>
        <w:rPr>
          <w:rFonts w:asciiTheme="minorEastAsia" w:hAnsiTheme="minorEastAsia"/>
          <w:sz w:val="21"/>
          <w:szCs w:val="21"/>
        </w:rPr>
      </w:pPr>
      <w:r>
        <w:rPr>
          <w:rFonts w:hint="eastAsia" w:asciiTheme="minorEastAsia" w:hAnsiTheme="minorEastAsia"/>
          <w:sz w:val="21"/>
          <w:szCs w:val="21"/>
        </w:rPr>
        <w:t>中国铁路昆明局集团有限公司曲靖北站</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内蒙古公路交通投资发展有限公司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广州地铁集团有限公司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广州市公共交通集团有限公司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广州港集团有限公司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广汽集团</w:t>
      </w:r>
    </w:p>
    <w:p>
      <w:pPr>
        <w:ind w:firstLine="0" w:firstLineChars="0"/>
        <w:jc w:val="left"/>
        <w:rPr>
          <w:rFonts w:asciiTheme="minorEastAsia" w:hAnsiTheme="minorEastAsia"/>
          <w:sz w:val="21"/>
          <w:szCs w:val="21"/>
        </w:rPr>
      </w:pPr>
    </w:p>
    <w:p>
      <w:pPr>
        <w:ind w:firstLine="0" w:firstLineChars="0"/>
        <w:jc w:val="left"/>
        <w:rPr>
          <w:rFonts w:asciiTheme="minorEastAsia" w:hAnsiTheme="minorEastAsia"/>
          <w:sz w:val="21"/>
          <w:szCs w:val="21"/>
        </w:rPr>
      </w:pPr>
    </w:p>
    <w:p>
      <w:pPr>
        <w:ind w:firstLine="0" w:firstLineChars="0"/>
        <w:jc w:val="left"/>
        <w:rPr>
          <w:rFonts w:asciiTheme="minorEastAsia" w:hAnsiTheme="minorEastAsia"/>
          <w:sz w:val="21"/>
          <w:szCs w:val="21"/>
        </w:rPr>
      </w:pPr>
    </w:p>
    <w:p>
      <w:pPr>
        <w:ind w:firstLine="0" w:firstLineChars="0"/>
        <w:jc w:val="left"/>
        <w:rPr>
          <w:rFonts w:asciiTheme="minorEastAsia" w:hAnsiTheme="minorEastAsia"/>
          <w:sz w:val="21"/>
          <w:szCs w:val="21"/>
        </w:rPr>
      </w:pPr>
    </w:p>
    <w:p>
      <w:pPr>
        <w:ind w:firstLine="0" w:firstLineChars="0"/>
        <w:jc w:val="left"/>
        <w:rPr>
          <w:rFonts w:asciiTheme="minorEastAsia" w:hAnsiTheme="minorEastAsia"/>
          <w:sz w:val="21"/>
          <w:szCs w:val="21"/>
        </w:rPr>
      </w:pPr>
    </w:p>
    <w:p>
      <w:pPr>
        <w:ind w:firstLine="0" w:firstLineChars="0"/>
        <w:jc w:val="left"/>
        <w:rPr>
          <w:rFonts w:asciiTheme="minorEastAsia" w:hAnsiTheme="minorEastAsia"/>
          <w:sz w:val="21"/>
          <w:szCs w:val="21"/>
        </w:rPr>
      </w:pPr>
    </w:p>
    <w:p>
      <w:pPr>
        <w:ind w:firstLine="0" w:firstLineChars="0"/>
        <w:jc w:val="left"/>
        <w:rPr>
          <w:rFonts w:asciiTheme="minorEastAsia" w:hAnsiTheme="minorEastAsia"/>
          <w:sz w:val="21"/>
          <w:szCs w:val="21"/>
        </w:rPr>
      </w:pPr>
    </w:p>
    <w:p>
      <w:pPr>
        <w:ind w:firstLine="0" w:firstLineChars="0"/>
        <w:jc w:val="left"/>
        <w:rPr>
          <w:rFonts w:asciiTheme="minorEastAsia" w:hAnsiTheme="minorEastAsia"/>
          <w:sz w:val="21"/>
          <w:szCs w:val="21"/>
        </w:rPr>
      </w:pPr>
    </w:p>
    <w:p>
      <w:pPr>
        <w:ind w:firstLine="0" w:firstLineChars="0"/>
        <w:jc w:val="left"/>
        <w:rPr>
          <w:rFonts w:asciiTheme="minorEastAsia" w:hAnsiTheme="minorEastAsia"/>
          <w:sz w:val="21"/>
          <w:szCs w:val="21"/>
        </w:rPr>
      </w:pPr>
      <w:r>
        <w:rPr>
          <w:rFonts w:hint="eastAsia" w:asciiTheme="minorEastAsia" w:hAnsiTheme="minorEastAsia"/>
          <w:sz w:val="21"/>
          <w:szCs w:val="21"/>
        </w:rPr>
        <w:t>广州燃气集团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广州石化</w:t>
      </w:r>
    </w:p>
    <w:p>
      <w:pPr>
        <w:ind w:firstLine="0" w:firstLineChars="0"/>
        <w:jc w:val="left"/>
        <w:rPr>
          <w:rFonts w:asciiTheme="minorEastAsia" w:hAnsiTheme="minorEastAsia"/>
          <w:sz w:val="21"/>
          <w:szCs w:val="21"/>
        </w:rPr>
      </w:pPr>
      <w:r>
        <w:rPr>
          <w:rFonts w:hint="eastAsia" w:asciiTheme="minorEastAsia" w:hAnsiTheme="minorEastAsia"/>
          <w:sz w:val="21"/>
          <w:szCs w:val="21"/>
        </w:rPr>
        <w:t>广州工业发展集团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广州珠江实业集团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广州医药集团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广州市第一人民医院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广州市第八人民医院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广州市第十二人民医院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广州市红十字会医院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中山大学附属第一医院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中山大学附属第三医院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中山大学附属肿瘤医院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中山大学孙逸仙纪念医院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广东药科大学附属第一医院</w:t>
      </w:r>
    </w:p>
    <w:p>
      <w:pPr>
        <w:ind w:firstLine="0" w:firstLineChars="0"/>
        <w:jc w:val="left"/>
        <w:rPr>
          <w:rFonts w:asciiTheme="minorEastAsia" w:hAnsiTheme="minorEastAsia"/>
          <w:sz w:val="21"/>
          <w:szCs w:val="21"/>
        </w:rPr>
      </w:pPr>
      <w:r>
        <w:rPr>
          <w:rFonts w:hint="eastAsia" w:asciiTheme="minorEastAsia" w:hAnsiTheme="minorEastAsia"/>
          <w:sz w:val="21"/>
          <w:szCs w:val="21"/>
        </w:rPr>
        <w:t>曲靖市第一人民医院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曲靖市第二人民医院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广州广电传媒集团</w:t>
      </w:r>
    </w:p>
    <w:p>
      <w:pPr>
        <w:ind w:firstLine="0" w:firstLineChars="0"/>
        <w:jc w:val="left"/>
        <w:rPr>
          <w:rFonts w:asciiTheme="minorEastAsia" w:hAnsiTheme="minorEastAsia"/>
          <w:sz w:val="21"/>
          <w:szCs w:val="21"/>
        </w:rPr>
      </w:pPr>
      <w:r>
        <w:rPr>
          <w:rFonts w:hint="eastAsia" w:asciiTheme="minorEastAsia" w:hAnsiTheme="minorEastAsia"/>
          <w:sz w:val="21"/>
          <w:szCs w:val="21"/>
        </w:rPr>
        <w:t>陕西网</w:t>
      </w:r>
    </w:p>
    <w:p>
      <w:pPr>
        <w:ind w:firstLine="0" w:firstLineChars="0"/>
        <w:jc w:val="left"/>
        <w:rPr>
          <w:rFonts w:asciiTheme="minorEastAsia" w:hAnsiTheme="minorEastAsia"/>
          <w:sz w:val="21"/>
          <w:szCs w:val="21"/>
        </w:rPr>
      </w:pPr>
      <w:r>
        <w:rPr>
          <w:rFonts w:hint="eastAsia" w:asciiTheme="minorEastAsia" w:hAnsiTheme="minorEastAsia"/>
          <w:sz w:val="21"/>
          <w:szCs w:val="21"/>
        </w:rPr>
        <w:t>群众新闻网</w:t>
      </w:r>
    </w:p>
    <w:p>
      <w:pPr>
        <w:ind w:firstLine="0" w:firstLineChars="0"/>
        <w:jc w:val="left"/>
        <w:rPr>
          <w:rFonts w:asciiTheme="minorEastAsia" w:hAnsiTheme="minorEastAsia"/>
          <w:sz w:val="21"/>
          <w:szCs w:val="21"/>
        </w:rPr>
      </w:pPr>
      <w:r>
        <w:rPr>
          <w:rFonts w:hint="eastAsia" w:asciiTheme="minorEastAsia" w:hAnsiTheme="minorEastAsia"/>
          <w:sz w:val="21"/>
          <w:szCs w:val="21"/>
        </w:rPr>
        <w:t>爱建湖网</w:t>
      </w:r>
    </w:p>
    <w:p>
      <w:pPr>
        <w:ind w:firstLine="0" w:firstLineChars="0"/>
        <w:jc w:val="left"/>
        <w:rPr>
          <w:rFonts w:asciiTheme="minorEastAsia" w:hAnsiTheme="minorEastAsia"/>
          <w:sz w:val="21"/>
          <w:szCs w:val="21"/>
        </w:rPr>
      </w:pPr>
      <w:r>
        <w:rPr>
          <w:rFonts w:hint="eastAsia" w:asciiTheme="minorEastAsia" w:hAnsiTheme="minorEastAsia"/>
          <w:sz w:val="21"/>
          <w:szCs w:val="21"/>
        </w:rPr>
        <w:t>山西市场导报（媒体）</w:t>
      </w:r>
    </w:p>
    <w:p>
      <w:pPr>
        <w:ind w:firstLine="0" w:firstLineChars="0"/>
        <w:jc w:val="left"/>
        <w:rPr>
          <w:rFonts w:asciiTheme="minorEastAsia" w:hAnsiTheme="minorEastAsia"/>
          <w:sz w:val="21"/>
          <w:szCs w:val="21"/>
        </w:rPr>
      </w:pPr>
      <w:r>
        <w:rPr>
          <w:rFonts w:hint="eastAsia" w:asciiTheme="minorEastAsia" w:hAnsiTheme="minorEastAsia"/>
          <w:sz w:val="21"/>
          <w:szCs w:val="21"/>
        </w:rPr>
        <w:t>中山市中山网传媒有限公司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深圳新闻网传媒股份有限公司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广东足球协会</w:t>
      </w:r>
    </w:p>
    <w:p>
      <w:pPr>
        <w:ind w:firstLine="0" w:firstLineChars="0"/>
        <w:jc w:val="left"/>
        <w:rPr>
          <w:rFonts w:asciiTheme="minorEastAsia" w:hAnsiTheme="minorEastAsia"/>
          <w:b/>
          <w:bCs/>
          <w:kern w:val="44"/>
          <w:sz w:val="28"/>
          <w:szCs w:val="28"/>
        </w:rPr>
      </w:pPr>
      <w:r>
        <w:rPr>
          <w:rFonts w:hint="eastAsia" w:asciiTheme="minorEastAsia" w:hAnsiTheme="minorEastAsia"/>
          <w:sz w:val="21"/>
          <w:szCs w:val="21"/>
        </w:rPr>
        <w:t>福建省电子商务协会</w:t>
      </w:r>
    </w:p>
    <w:sectPr>
      <w:headerReference r:id="rId13" w:type="first"/>
      <w:headerReference r:id="rId11" w:type="default"/>
      <w:footerReference r:id="rId14" w:type="default"/>
      <w:headerReference r:id="rId12" w:type="even"/>
      <w:pgSz w:w="11906" w:h="16838"/>
      <w:pgMar w:top="1440" w:right="1800" w:bottom="1118" w:left="1800" w:header="851" w:footer="992" w:gutter="0"/>
      <w:cols w:equalWidth="0" w:num="2">
        <w:col w:w="3940" w:space="425"/>
        <w:col w:w="3940"/>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dobe 宋体 Std L">
    <w:panose1 w:val="02020300000000000000"/>
    <w:charset w:val="86"/>
    <w:family w:val="auto"/>
    <w:pitch w:val="default"/>
    <w:sig w:usb0="00000001" w:usb1="0A0F1810" w:usb2="00000016" w:usb3="00000000" w:csb0="00060007"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1"/>
      <w:rPr>
        <w:rFonts w:ascii="黑体" w:hAnsi="黑体" w:eastAsia="黑体"/>
        <w:b/>
        <w:bCs/>
      </w:rPr>
    </w:pPr>
    <w:r>
      <w:rPr>
        <w:rFonts w:hint="eastAsia" w:ascii="黑体" w:hAnsi="黑体" w:eastAsia="黑体"/>
        <w:b/>
        <w:bCs/>
      </w:rPr>
      <w:t>广东新兴国家网络安全和信息化发展研究院2020.9</w:t>
    </w:r>
  </w:p>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1"/>
      <w:rPr>
        <w:rFonts w:ascii="黑体" w:hAnsi="黑体" w:eastAsia="黑体"/>
        <w:b/>
        <w:bCs/>
      </w:rPr>
    </w:pPr>
    <w:r>
      <w:rPr>
        <w:rFonts w:hint="eastAsia" w:ascii="黑体" w:hAnsi="黑体" w:eastAsia="黑体"/>
        <w:b/>
        <w:bCs/>
      </w:rPr>
      <w:t>广东新兴国家网络安全和信息化发展研究院2020.9</w:t>
    </w:r>
  </w:p>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396"/>
        <w:tab w:val="left" w:pos="4951"/>
      </w:tabs>
      <w:ind w:firstLine="360"/>
    </w:pPr>
    <w:r>
      <mc:AlternateContent>
        <mc:Choice Requires="wps">
          <w:drawing>
            <wp:anchor distT="0" distB="0" distL="114300" distR="114300" simplePos="0" relativeHeight="252337152"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43712967"/>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2337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9hPQuBECAAAJBAAADgAAAAAAAAABACAA&#10;AAAfAQAAZHJzL2Uyb0RvYy54bWxQSwUGAAAAAAYABgBZAQAAogUAAAAA&#10;">
              <v:fill on="f" focussize="0,0"/>
              <v:stroke on="f" weight="0.5pt"/>
              <v:imagedata o:title=""/>
              <o:lock v:ext="edit" aspectratio="f"/>
              <v:textbox inset="0mm,0mm,0mm,0mm" style="mso-fit-shape-to-text:t;">
                <w:txbxContent>
                  <w:sdt>
                    <w:sdtPr>
                      <w:id w:val="1543712967"/>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v:textbox>
            </v:shape>
          </w:pict>
        </mc:Fallback>
      </mc:AlternateContent>
    </w:r>
    <w:r>
      <w:rPr>
        <w:rFonts w:hint="eastAsia"/>
      </w:rPr>
      <w:tab/>
    </w:r>
    <w:r>
      <w:rPr>
        <w:rFonts w:hint="eastAsia"/>
      </w:rPr>
      <w:tab/>
    </w:r>
    <w:r>
      <w:rPr>
        <w:rFonts w:hint="eastAsia"/>
      </w:rPr>
      <w:tab/>
    </w:r>
    <w:r>
      <w:rPr>
        <w:rFonts w:hint="eastAsia"/>
      </w:rPr>
      <w:tab/>
    </w:r>
  </w:p>
  <w:p>
    <w:pPr>
      <w:pStyle w:val="9"/>
      <w:ind w:firstLine="361"/>
      <w:rPr>
        <w:rFonts w:ascii="黑体" w:hAnsi="黑体" w:eastAsia="黑体"/>
        <w:b/>
        <w:bCs/>
      </w:rPr>
    </w:pPr>
    <w:r>
      <w:rPr>
        <w:rFonts w:hint="eastAsia" w:ascii="黑体" w:hAnsi="黑体" w:eastAsia="黑体"/>
        <w:b/>
        <w:bCs/>
      </w:rPr>
      <w:t>广东新兴国家网络安全和信息化发展研究院2020.9</w:t>
    </w:r>
  </w:p>
  <w:p>
    <w:pPr>
      <w:pStyle w:val="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396"/>
        <w:tab w:val="left" w:pos="4951"/>
      </w:tabs>
      <w:ind w:firstLine="360"/>
    </w:pPr>
    <w:r>
      <mc:AlternateContent>
        <mc:Choice Requires="wps">
          <w:drawing>
            <wp:anchor distT="0" distB="0" distL="114300" distR="114300" simplePos="0" relativeHeight="2530170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13741924"/>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30170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PAm2TRECAAAJBAAADgAAAAAAAAABACAA&#10;AAAfAQAAZHJzL2Uyb0RvYy54bWxQSwUGAAAAAAYABgBZAQAAogUAAAAA&#10;">
              <v:fill on="f" focussize="0,0"/>
              <v:stroke on="f" weight="0.5pt"/>
              <v:imagedata o:title=""/>
              <o:lock v:ext="edit" aspectratio="f"/>
              <v:textbox inset="0mm,0mm,0mm,0mm" style="mso-fit-shape-to-text:t;">
                <w:txbxContent>
                  <w:sdt>
                    <w:sdtPr>
                      <w:id w:val="1913741924"/>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v:textbox>
            </v:shape>
          </w:pict>
        </mc:Fallback>
      </mc:AlternateContent>
    </w:r>
    <w:r>
      <w:rPr>
        <w:rFonts w:hint="eastAsia"/>
      </w:rPr>
      <w:tab/>
    </w:r>
    <w:r>
      <w:rPr>
        <w:rFonts w:hint="eastAsia"/>
      </w:rPr>
      <w:tab/>
    </w:r>
    <w:r>
      <w:rPr>
        <w:rFonts w:hint="eastAsia"/>
      </w:rPr>
      <w:tab/>
    </w:r>
    <w:r>
      <w:rPr>
        <w:rFonts w:hint="eastAsia"/>
      </w:rPr>
      <w:tab/>
    </w:r>
  </w:p>
  <w:p>
    <w:pPr>
      <w:pStyle w:val="9"/>
      <w:ind w:firstLine="361"/>
      <w:rPr>
        <w:rFonts w:ascii="黑体" w:hAnsi="黑体" w:eastAsia="黑体"/>
        <w:b/>
        <w:bCs/>
      </w:rPr>
    </w:pPr>
    <w:r>
      <w:rPr>
        <w:rFonts w:hint="eastAsia" w:ascii="黑体" w:hAnsi="黑体" w:eastAsia="黑体"/>
        <w:b/>
        <w:bCs/>
      </w:rPr>
      <w:t>广东新兴国家网络安全和信息化发展研究院2020.9</w:t>
    </w:r>
  </w:p>
  <w:p>
    <w:pPr>
      <w:pStyle w:val="9"/>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584899"/>
                          </w:sdtPr>
                          <w:sdtContent>
                            <w:sdt>
                              <w:sdtPr>
                                <w:id w:val="9584900"/>
                              </w:sdtPr>
                              <w:sdtContent>
                                <w:p>
                                  <w:pPr>
                                    <w:jc w:val="center"/>
                                  </w:pPr>
                                  <w:r>
                                    <w:rPr>
                                      <w:lang w:val="zh-CN"/>
                                    </w:rPr>
                                    <w:t xml:space="preserve"> </w:t>
                                  </w:r>
                                  <w:r>
                                    <w:rPr>
                                      <w:b/>
                                    </w:rPr>
                                    <w:fldChar w:fldCharType="begin"/>
                                  </w:r>
                                  <w:r>
                                    <w:rPr>
                                      <w:b/>
                                    </w:rPr>
                                    <w:instrText xml:space="preserve">PAGE</w:instrText>
                                  </w:r>
                                  <w:r>
                                    <w:rPr>
                                      <w:b/>
                                    </w:rPr>
                                    <w:fldChar w:fldCharType="separate"/>
                                  </w:r>
                                  <w:r>
                                    <w:rPr>
                                      <w:b/>
                                    </w:rPr>
                                    <w:t>78</w:t>
                                  </w:r>
                                  <w:r>
                                    <w:rPr>
                                      <w:b/>
                                    </w:rPr>
                                    <w:fldChar w:fldCharType="end"/>
                                  </w:r>
                                  <w:r>
                                    <w:rPr>
                                      <w:lang w:val="zh-CN"/>
                                    </w:rPr>
                                    <w:t xml:space="preserve"> </w:t>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02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lETlDRECAAAJBAAADgAAAAAAAAABACAA&#10;AAAfAQAAZHJzL2Uyb0RvYy54bWxQSwUGAAAAAAYABgBZAQAAogUAAAAA&#10;">
              <v:fill on="f" focussize="0,0"/>
              <v:stroke on="f" weight="0.5pt"/>
              <v:imagedata o:title=""/>
              <o:lock v:ext="edit" aspectratio="f"/>
              <v:textbox inset="0mm,0mm,0mm,0mm" style="mso-fit-shape-to-text:t;">
                <w:txbxContent>
                  <w:sdt>
                    <w:sdtPr>
                      <w:id w:val="9584899"/>
                    </w:sdtPr>
                    <w:sdtContent>
                      <w:sdt>
                        <w:sdtPr>
                          <w:id w:val="9584900"/>
                        </w:sdtPr>
                        <w:sdtContent>
                          <w:p>
                            <w:pPr>
                              <w:jc w:val="center"/>
                            </w:pPr>
                            <w:r>
                              <w:rPr>
                                <w:lang w:val="zh-CN"/>
                              </w:rPr>
                              <w:t xml:space="preserve"> </w:t>
                            </w:r>
                            <w:r>
                              <w:rPr>
                                <w:b/>
                              </w:rPr>
                              <w:fldChar w:fldCharType="begin"/>
                            </w:r>
                            <w:r>
                              <w:rPr>
                                <w:b/>
                              </w:rPr>
                              <w:instrText xml:space="preserve">PAGE</w:instrText>
                            </w:r>
                            <w:r>
                              <w:rPr>
                                <w:b/>
                              </w:rPr>
                              <w:fldChar w:fldCharType="separate"/>
                            </w:r>
                            <w:r>
                              <w:rPr>
                                <w:b/>
                              </w:rPr>
                              <w:t>78</w:t>
                            </w:r>
                            <w:r>
                              <w:rPr>
                                <w:b/>
                              </w:rPr>
                              <w:fldChar w:fldCharType="end"/>
                            </w:r>
                            <w:r>
                              <w:rPr>
                                <w:lang w:val="zh-CN"/>
                              </w:rPr>
                              <w:t xml:space="preserve"> </w:t>
                            </w:r>
                          </w:p>
                        </w:sdtContent>
                      </w:sdt>
                    </w:sdtContent>
                  </w:sdt>
                  <w:p/>
                </w:txbxContent>
              </v:textbox>
            </v:shape>
          </w:pict>
        </mc:Fallback>
      </mc:AlternateContent>
    </w:r>
  </w:p>
  <w:p>
    <w:pPr>
      <w:spacing w:line="240" w:lineRule="auto"/>
      <w:ind w:firstLine="361"/>
      <w:rPr>
        <w:rFonts w:eastAsia="黑体"/>
        <w:b/>
        <w:sz w:val="18"/>
        <w:szCs w:val="18"/>
      </w:rPr>
    </w:pPr>
    <w:r>
      <w:rPr>
        <w:rFonts w:hint="eastAsia" w:ascii="黑体" w:hAnsi="黑体" w:eastAsia="黑体"/>
        <w:b/>
        <w:sz w:val="18"/>
        <w:szCs w:val="18"/>
      </w:rPr>
      <w:t>广东新兴国家网络安全和信息化发展研究院2020.9</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rPr>
        <w:rFonts w:asciiTheme="minorEastAsia" w:hAnsiTheme="minorEastAsia" w:cstheme="minorEastAsia"/>
      </w:rPr>
    </w:pPr>
    <w:r>
      <w:rPr>
        <w:sz w:val="18"/>
      </w:rPr>
      <w:drawing>
        <wp:anchor distT="0" distB="0" distL="114300" distR="114300" simplePos="0" relativeHeight="253018112" behindDoc="1" locked="0" layoutInCell="1" allowOverlap="1">
          <wp:simplePos x="0" y="0"/>
          <wp:positionH relativeFrom="margin">
            <wp:align>center</wp:align>
          </wp:positionH>
          <wp:positionV relativeFrom="margin">
            <wp:align>center</wp:align>
          </wp:positionV>
          <wp:extent cx="5274310" cy="3270885"/>
          <wp:effectExtent l="0" t="0" r="2540" b="5715"/>
          <wp:wrapNone/>
          <wp:docPr id="36" name="WordPictureWatermark25842" descr="微信图片_2020091408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WordPictureWatermark25842" descr="微信图片_20200914083724"/>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r>
      <w:rPr>
        <w:rFonts w:hint="eastAsia" w:asciiTheme="minorEastAsia" w:hAnsiTheme="minorEastAsia" w:cstheme="minorEastAsia"/>
      </w:rPr>
      <w:t>2020网民网络安全感满意度调查数据统计报告（从业人员版）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ind w:firstLine="360"/>
    </w:pPr>
    <w:r>
      <w:rPr>
        <w:sz w:val="18"/>
      </w:rPr>
      <w:drawing>
        <wp:anchor distT="0" distB="0" distL="114300" distR="114300" simplePos="0" relativeHeight="253019136" behindDoc="1" locked="0" layoutInCell="1" allowOverlap="1">
          <wp:simplePos x="0" y="0"/>
          <wp:positionH relativeFrom="margin">
            <wp:align>center</wp:align>
          </wp:positionH>
          <wp:positionV relativeFrom="margin">
            <wp:align>center</wp:align>
          </wp:positionV>
          <wp:extent cx="5274310" cy="3270885"/>
          <wp:effectExtent l="0" t="0" r="2540" b="5715"/>
          <wp:wrapNone/>
          <wp:docPr id="37" name="WordPictureWatermark25842" descr="微信图片_2020091408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WordPictureWatermark25842" descr="微信图片_20200914083724"/>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jc w:val="center"/>
      <w:rPr>
        <w:rFonts w:ascii="黑体" w:hAnsi="黑体" w:eastAsia="黑体"/>
        <w:sz w:val="22"/>
        <w:szCs w:val="22"/>
      </w:rPr>
    </w:pPr>
    <w:r>
      <w:rPr>
        <w:sz w:val="22"/>
        <w:szCs w:val="22"/>
      </w:rPr>
      <w:pict>
        <v:shape id="PowerPlusWaterMarkObject110613633" o:spid="_x0000_s2057" o:spt="136" type="#_x0000_t136" style="position:absolute;left:0pt;height:29.25pt;width:556.05pt;mso-position-horizontal:center;mso-position-horizontal-relative:margin;mso-position-vertical:center;mso-position-vertical-relative:margin;rotation:20643840f;z-index:-250295296;mso-width-relative:page;mso-height-relative:page;" fillcolor="#C0C0C0" filled="t" stroked="f" coordsize="21600,21600" o:allowincell="f">
          <v:path/>
          <v:fill on="t" opacity="32768f" focussize="0,0"/>
          <v:stroke on="f"/>
          <v:imagedata o:title=""/>
          <o:lock v:ext="edit"/>
          <v:textpath on="t" fitshape="t" fitpath="t" trim="t" xscale="f" string="广东新兴国家网络安全和信息化发展研究院" style="font-family:宋体;font-size:1pt;v-text-align:center;"/>
        </v:shape>
      </w:pict>
    </w:r>
    <w:r>
      <w:rPr>
        <w:sz w:val="18"/>
      </w:rPr>
      <w:drawing>
        <wp:anchor distT="0" distB="0" distL="114300" distR="114300" simplePos="0" relativeHeight="253020160" behindDoc="1" locked="0" layoutInCell="1" allowOverlap="1">
          <wp:simplePos x="0" y="0"/>
          <wp:positionH relativeFrom="margin">
            <wp:align>center</wp:align>
          </wp:positionH>
          <wp:positionV relativeFrom="margin">
            <wp:align>center</wp:align>
          </wp:positionV>
          <wp:extent cx="5274310" cy="3270885"/>
          <wp:effectExtent l="0" t="0" r="2540" b="5715"/>
          <wp:wrapNone/>
          <wp:docPr id="38" name="WordPictureWatermark25842" descr="微信图片_2020091408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WordPictureWatermark25842" descr="微信图片_20200914083724"/>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r>
      <w:rPr>
        <w:rFonts w:hint="eastAsia" w:ascii="黑体" w:hAnsi="黑体" w:eastAsia="黑体"/>
        <w:sz w:val="22"/>
        <w:szCs w:val="22"/>
      </w:rPr>
      <w:t>2020年全国网民网络安全感满意度调查统计报告（从业人员版）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110613632" o:spid="_x0000_s2056" o:spt="136" type="#_x0000_t136" style="position:absolute;left:0pt;height:29.25pt;width:556.05pt;mso-position-horizontal:center;mso-position-horizontal-relative:margin;mso-position-vertical:center;mso-position-vertical-relative:margin;rotation:20643840f;z-index:-251642880;mso-width-relative:page;mso-height-relative:page;" fillcolor="#C0C0C0" filled="t" stroked="f" coordsize="21600,21600" o:allowincell="f">
          <v:path/>
          <v:fill on="t" opacity="32768f" focussize="0,0"/>
          <v:stroke on="f"/>
          <v:imagedata o:title=""/>
          <o:lock v:ext="edit"/>
          <v:textpath on="t" fitshape="t" fitpath="t" trim="t" xscale="f" string="广东新兴国家网络安全和信息化发展研究院"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110613631" o:spid="_x0000_s2055" o:spt="136" type="#_x0000_t136" style="position:absolute;left:0pt;height:29.25pt;width:556.05pt;mso-position-horizontal:center;mso-position-horizontal-relative:margin;mso-position-vertical:center;mso-position-vertical-relative:margin;rotation:20643840f;z-index:-251644928;mso-width-relative:page;mso-height-relative:page;" fillcolor="#C0C0C0" filled="t" stroked="f" coordsize="21600,21600" o:allowincell="f">
          <v:path/>
          <v:fill on="t" opacity="32768f" focussize="0,0"/>
          <v:stroke on="f"/>
          <v:imagedata o:title=""/>
          <o:lock v:ext="edit"/>
          <v:textpath on="t" fitshape="t" fitpath="t" trim="t" xscale="f" string="广东新兴国家网络安全和信息化发展研究院"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226"/>
    <w:multiLevelType w:val="multilevel"/>
    <w:tmpl w:val="01E6722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HorizontalSpacing w:val="120"/>
  <w:drawingGridVerticalSpacing w:val="163"/>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29"/>
    <w:rsid w:val="000009B9"/>
    <w:rsid w:val="00010C9A"/>
    <w:rsid w:val="000126F9"/>
    <w:rsid w:val="00016973"/>
    <w:rsid w:val="0002011C"/>
    <w:rsid w:val="00023C0E"/>
    <w:rsid w:val="00023C13"/>
    <w:rsid w:val="00024877"/>
    <w:rsid w:val="00030E32"/>
    <w:rsid w:val="0003323B"/>
    <w:rsid w:val="0003623F"/>
    <w:rsid w:val="0004074E"/>
    <w:rsid w:val="00046002"/>
    <w:rsid w:val="000526B1"/>
    <w:rsid w:val="000627BE"/>
    <w:rsid w:val="00064558"/>
    <w:rsid w:val="0006487B"/>
    <w:rsid w:val="000716F3"/>
    <w:rsid w:val="000734D8"/>
    <w:rsid w:val="00077834"/>
    <w:rsid w:val="0008740C"/>
    <w:rsid w:val="0008786F"/>
    <w:rsid w:val="00087DCA"/>
    <w:rsid w:val="00092BD4"/>
    <w:rsid w:val="00094105"/>
    <w:rsid w:val="00094DAD"/>
    <w:rsid w:val="000952BA"/>
    <w:rsid w:val="00095757"/>
    <w:rsid w:val="000A00B5"/>
    <w:rsid w:val="000A747C"/>
    <w:rsid w:val="000B1F29"/>
    <w:rsid w:val="000B3016"/>
    <w:rsid w:val="000C11F3"/>
    <w:rsid w:val="000C2222"/>
    <w:rsid w:val="000C64C4"/>
    <w:rsid w:val="000D09E4"/>
    <w:rsid w:val="000D189A"/>
    <w:rsid w:val="000D5B67"/>
    <w:rsid w:val="000D6153"/>
    <w:rsid w:val="000D673E"/>
    <w:rsid w:val="000D7B98"/>
    <w:rsid w:val="000E1DE2"/>
    <w:rsid w:val="000E277E"/>
    <w:rsid w:val="000E2DA6"/>
    <w:rsid w:val="000F0886"/>
    <w:rsid w:val="000F0D5C"/>
    <w:rsid w:val="000F3599"/>
    <w:rsid w:val="000F40EA"/>
    <w:rsid w:val="000F5C6E"/>
    <w:rsid w:val="000F69D2"/>
    <w:rsid w:val="000F78A5"/>
    <w:rsid w:val="00100121"/>
    <w:rsid w:val="00104351"/>
    <w:rsid w:val="00106672"/>
    <w:rsid w:val="00107169"/>
    <w:rsid w:val="00110640"/>
    <w:rsid w:val="00127F5C"/>
    <w:rsid w:val="0013160D"/>
    <w:rsid w:val="00132672"/>
    <w:rsid w:val="0013461E"/>
    <w:rsid w:val="00137C55"/>
    <w:rsid w:val="00146F71"/>
    <w:rsid w:val="00150E52"/>
    <w:rsid w:val="00151239"/>
    <w:rsid w:val="00156290"/>
    <w:rsid w:val="001579E5"/>
    <w:rsid w:val="00160FF6"/>
    <w:rsid w:val="00164F2B"/>
    <w:rsid w:val="00170CA3"/>
    <w:rsid w:val="001726DC"/>
    <w:rsid w:val="001754D7"/>
    <w:rsid w:val="00180221"/>
    <w:rsid w:val="001803B3"/>
    <w:rsid w:val="0018061A"/>
    <w:rsid w:val="001828F1"/>
    <w:rsid w:val="00185399"/>
    <w:rsid w:val="001A0D51"/>
    <w:rsid w:val="001A2526"/>
    <w:rsid w:val="001A2A02"/>
    <w:rsid w:val="001A3B61"/>
    <w:rsid w:val="001A6B98"/>
    <w:rsid w:val="001A7755"/>
    <w:rsid w:val="001B186D"/>
    <w:rsid w:val="001B6987"/>
    <w:rsid w:val="001B6D16"/>
    <w:rsid w:val="001C0F89"/>
    <w:rsid w:val="001C1461"/>
    <w:rsid w:val="001C2951"/>
    <w:rsid w:val="001C6B5B"/>
    <w:rsid w:val="001D31D8"/>
    <w:rsid w:val="001D4AEC"/>
    <w:rsid w:val="001D59F3"/>
    <w:rsid w:val="001D6426"/>
    <w:rsid w:val="001E09CC"/>
    <w:rsid w:val="001E1B32"/>
    <w:rsid w:val="001E3026"/>
    <w:rsid w:val="001E4636"/>
    <w:rsid w:val="001F3464"/>
    <w:rsid w:val="001F6994"/>
    <w:rsid w:val="001F6D12"/>
    <w:rsid w:val="002030F2"/>
    <w:rsid w:val="00204D9B"/>
    <w:rsid w:val="00206C63"/>
    <w:rsid w:val="00207E26"/>
    <w:rsid w:val="00211341"/>
    <w:rsid w:val="002211A5"/>
    <w:rsid w:val="00224457"/>
    <w:rsid w:val="002245D3"/>
    <w:rsid w:val="00224FF1"/>
    <w:rsid w:val="002263B5"/>
    <w:rsid w:val="00233A50"/>
    <w:rsid w:val="00240C2A"/>
    <w:rsid w:val="0025393E"/>
    <w:rsid w:val="002546D4"/>
    <w:rsid w:val="002569E3"/>
    <w:rsid w:val="0026236D"/>
    <w:rsid w:val="00263DCA"/>
    <w:rsid w:val="00270143"/>
    <w:rsid w:val="0027517C"/>
    <w:rsid w:val="002756A2"/>
    <w:rsid w:val="00281E77"/>
    <w:rsid w:val="002879E2"/>
    <w:rsid w:val="0029086A"/>
    <w:rsid w:val="00292304"/>
    <w:rsid w:val="002969AD"/>
    <w:rsid w:val="00296BF2"/>
    <w:rsid w:val="00296D39"/>
    <w:rsid w:val="00297A51"/>
    <w:rsid w:val="002A32ED"/>
    <w:rsid w:val="002A6164"/>
    <w:rsid w:val="002A7B58"/>
    <w:rsid w:val="002B1280"/>
    <w:rsid w:val="002B2EE5"/>
    <w:rsid w:val="002B5902"/>
    <w:rsid w:val="002C444A"/>
    <w:rsid w:val="002C72B1"/>
    <w:rsid w:val="002C75F3"/>
    <w:rsid w:val="002D05FF"/>
    <w:rsid w:val="002D1C8A"/>
    <w:rsid w:val="002D3F8C"/>
    <w:rsid w:val="002D4878"/>
    <w:rsid w:val="002E016B"/>
    <w:rsid w:val="002E5D2C"/>
    <w:rsid w:val="002E78E5"/>
    <w:rsid w:val="0030068E"/>
    <w:rsid w:val="003027E2"/>
    <w:rsid w:val="00303A03"/>
    <w:rsid w:val="00304BDE"/>
    <w:rsid w:val="003055EA"/>
    <w:rsid w:val="0030585D"/>
    <w:rsid w:val="0031111E"/>
    <w:rsid w:val="0031114B"/>
    <w:rsid w:val="003211D5"/>
    <w:rsid w:val="00321D03"/>
    <w:rsid w:val="00326EB5"/>
    <w:rsid w:val="00332622"/>
    <w:rsid w:val="00334089"/>
    <w:rsid w:val="00334BBF"/>
    <w:rsid w:val="00335824"/>
    <w:rsid w:val="0033589D"/>
    <w:rsid w:val="0034169F"/>
    <w:rsid w:val="0034332E"/>
    <w:rsid w:val="003510DC"/>
    <w:rsid w:val="00362424"/>
    <w:rsid w:val="00363E2E"/>
    <w:rsid w:val="00367AD9"/>
    <w:rsid w:val="0037055E"/>
    <w:rsid w:val="00381CC0"/>
    <w:rsid w:val="00382ED4"/>
    <w:rsid w:val="00386F2B"/>
    <w:rsid w:val="00391F0F"/>
    <w:rsid w:val="00397263"/>
    <w:rsid w:val="003A2492"/>
    <w:rsid w:val="003A266D"/>
    <w:rsid w:val="003A3819"/>
    <w:rsid w:val="003B0C28"/>
    <w:rsid w:val="003B3DFE"/>
    <w:rsid w:val="003B5112"/>
    <w:rsid w:val="003C1C20"/>
    <w:rsid w:val="003C2F1E"/>
    <w:rsid w:val="003C393D"/>
    <w:rsid w:val="003C483B"/>
    <w:rsid w:val="003D0D65"/>
    <w:rsid w:val="003D39D4"/>
    <w:rsid w:val="003D3EE6"/>
    <w:rsid w:val="003D73C7"/>
    <w:rsid w:val="003E1E84"/>
    <w:rsid w:val="003E431D"/>
    <w:rsid w:val="003E6B37"/>
    <w:rsid w:val="003E7BB9"/>
    <w:rsid w:val="003F09E8"/>
    <w:rsid w:val="0040170B"/>
    <w:rsid w:val="00407DF7"/>
    <w:rsid w:val="00411CBB"/>
    <w:rsid w:val="00422AD4"/>
    <w:rsid w:val="00422F50"/>
    <w:rsid w:val="0042575C"/>
    <w:rsid w:val="00425ACC"/>
    <w:rsid w:val="00427EBE"/>
    <w:rsid w:val="00431B62"/>
    <w:rsid w:val="00432D24"/>
    <w:rsid w:val="00437EDE"/>
    <w:rsid w:val="00440300"/>
    <w:rsid w:val="00444FFB"/>
    <w:rsid w:val="00445A6F"/>
    <w:rsid w:val="00447F69"/>
    <w:rsid w:val="0045725C"/>
    <w:rsid w:val="00461D4D"/>
    <w:rsid w:val="00463204"/>
    <w:rsid w:val="004648A3"/>
    <w:rsid w:val="00465478"/>
    <w:rsid w:val="00467477"/>
    <w:rsid w:val="004702F4"/>
    <w:rsid w:val="00472E47"/>
    <w:rsid w:val="00485F2E"/>
    <w:rsid w:val="0049157E"/>
    <w:rsid w:val="00493D88"/>
    <w:rsid w:val="00493EA4"/>
    <w:rsid w:val="004963A4"/>
    <w:rsid w:val="004A0123"/>
    <w:rsid w:val="004A2BB1"/>
    <w:rsid w:val="004B037D"/>
    <w:rsid w:val="004B087C"/>
    <w:rsid w:val="004B2C1E"/>
    <w:rsid w:val="004B582E"/>
    <w:rsid w:val="004B60BB"/>
    <w:rsid w:val="004C0C51"/>
    <w:rsid w:val="004C5E34"/>
    <w:rsid w:val="004D12DA"/>
    <w:rsid w:val="004D1749"/>
    <w:rsid w:val="004D6F58"/>
    <w:rsid w:val="004D7CEE"/>
    <w:rsid w:val="004E0F1D"/>
    <w:rsid w:val="004E5F2F"/>
    <w:rsid w:val="004E6377"/>
    <w:rsid w:val="004E6BB1"/>
    <w:rsid w:val="004F697E"/>
    <w:rsid w:val="0050009A"/>
    <w:rsid w:val="0050122A"/>
    <w:rsid w:val="00504411"/>
    <w:rsid w:val="00504B0F"/>
    <w:rsid w:val="005074AD"/>
    <w:rsid w:val="00507F1A"/>
    <w:rsid w:val="005109E9"/>
    <w:rsid w:val="00511355"/>
    <w:rsid w:val="0051214C"/>
    <w:rsid w:val="0051238B"/>
    <w:rsid w:val="0051437E"/>
    <w:rsid w:val="00520A27"/>
    <w:rsid w:val="00523222"/>
    <w:rsid w:val="005245D4"/>
    <w:rsid w:val="00524BA7"/>
    <w:rsid w:val="0052505D"/>
    <w:rsid w:val="005255CD"/>
    <w:rsid w:val="005257EE"/>
    <w:rsid w:val="00531799"/>
    <w:rsid w:val="00532DAC"/>
    <w:rsid w:val="0053699D"/>
    <w:rsid w:val="00536DC5"/>
    <w:rsid w:val="00543170"/>
    <w:rsid w:val="00544C08"/>
    <w:rsid w:val="0054635D"/>
    <w:rsid w:val="005477BA"/>
    <w:rsid w:val="005500B7"/>
    <w:rsid w:val="00555D22"/>
    <w:rsid w:val="005573F1"/>
    <w:rsid w:val="00557FCF"/>
    <w:rsid w:val="005619BA"/>
    <w:rsid w:val="00563C7E"/>
    <w:rsid w:val="005733D8"/>
    <w:rsid w:val="00573565"/>
    <w:rsid w:val="005815C9"/>
    <w:rsid w:val="005904C1"/>
    <w:rsid w:val="005968DA"/>
    <w:rsid w:val="00597B7F"/>
    <w:rsid w:val="005A2165"/>
    <w:rsid w:val="005A394A"/>
    <w:rsid w:val="005A6FF4"/>
    <w:rsid w:val="005A7A71"/>
    <w:rsid w:val="005C2189"/>
    <w:rsid w:val="005C232D"/>
    <w:rsid w:val="005C36BC"/>
    <w:rsid w:val="005C6E47"/>
    <w:rsid w:val="005D2684"/>
    <w:rsid w:val="005D4095"/>
    <w:rsid w:val="005D46B2"/>
    <w:rsid w:val="005D6C28"/>
    <w:rsid w:val="005E1FEE"/>
    <w:rsid w:val="005E5886"/>
    <w:rsid w:val="005E79DA"/>
    <w:rsid w:val="005F2152"/>
    <w:rsid w:val="005F7512"/>
    <w:rsid w:val="006023B3"/>
    <w:rsid w:val="00603971"/>
    <w:rsid w:val="00606225"/>
    <w:rsid w:val="00614EB8"/>
    <w:rsid w:val="00622140"/>
    <w:rsid w:val="006226EE"/>
    <w:rsid w:val="006232B4"/>
    <w:rsid w:val="00623D16"/>
    <w:rsid w:val="006243CB"/>
    <w:rsid w:val="0062637C"/>
    <w:rsid w:val="00630D2B"/>
    <w:rsid w:val="00631044"/>
    <w:rsid w:val="0063148E"/>
    <w:rsid w:val="00632588"/>
    <w:rsid w:val="006331F7"/>
    <w:rsid w:val="006343E7"/>
    <w:rsid w:val="00641EC4"/>
    <w:rsid w:val="00642A77"/>
    <w:rsid w:val="0064372A"/>
    <w:rsid w:val="00646DF3"/>
    <w:rsid w:val="006477F7"/>
    <w:rsid w:val="00650629"/>
    <w:rsid w:val="00650F5A"/>
    <w:rsid w:val="00653202"/>
    <w:rsid w:val="00656E80"/>
    <w:rsid w:val="0065701D"/>
    <w:rsid w:val="0065769E"/>
    <w:rsid w:val="006659FF"/>
    <w:rsid w:val="00674287"/>
    <w:rsid w:val="00675E0E"/>
    <w:rsid w:val="006836AA"/>
    <w:rsid w:val="006846AB"/>
    <w:rsid w:val="00690BC1"/>
    <w:rsid w:val="00691A4D"/>
    <w:rsid w:val="00692A29"/>
    <w:rsid w:val="006957D1"/>
    <w:rsid w:val="006A020F"/>
    <w:rsid w:val="006A0780"/>
    <w:rsid w:val="006A75FB"/>
    <w:rsid w:val="006A770A"/>
    <w:rsid w:val="006B1DB6"/>
    <w:rsid w:val="006B353B"/>
    <w:rsid w:val="006B501A"/>
    <w:rsid w:val="006B6666"/>
    <w:rsid w:val="006B6946"/>
    <w:rsid w:val="006C2F3A"/>
    <w:rsid w:val="006C3966"/>
    <w:rsid w:val="006C794D"/>
    <w:rsid w:val="006D0F6C"/>
    <w:rsid w:val="006D3F5E"/>
    <w:rsid w:val="006D55F1"/>
    <w:rsid w:val="006D7409"/>
    <w:rsid w:val="006D7DC0"/>
    <w:rsid w:val="006E311B"/>
    <w:rsid w:val="006F1044"/>
    <w:rsid w:val="006F2E45"/>
    <w:rsid w:val="006F3F78"/>
    <w:rsid w:val="006F4942"/>
    <w:rsid w:val="00700B79"/>
    <w:rsid w:val="007036AE"/>
    <w:rsid w:val="007036DA"/>
    <w:rsid w:val="007056D4"/>
    <w:rsid w:val="007152CA"/>
    <w:rsid w:val="0072067B"/>
    <w:rsid w:val="00724FB0"/>
    <w:rsid w:val="00727D15"/>
    <w:rsid w:val="007346A8"/>
    <w:rsid w:val="00736E71"/>
    <w:rsid w:val="007378D2"/>
    <w:rsid w:val="00740DFA"/>
    <w:rsid w:val="007420FA"/>
    <w:rsid w:val="00742CC2"/>
    <w:rsid w:val="007438DE"/>
    <w:rsid w:val="00744459"/>
    <w:rsid w:val="0074508E"/>
    <w:rsid w:val="00757AF0"/>
    <w:rsid w:val="007710AB"/>
    <w:rsid w:val="007772F9"/>
    <w:rsid w:val="00783AFA"/>
    <w:rsid w:val="00790402"/>
    <w:rsid w:val="00792285"/>
    <w:rsid w:val="00793E5A"/>
    <w:rsid w:val="00794319"/>
    <w:rsid w:val="00795BE6"/>
    <w:rsid w:val="007A04D4"/>
    <w:rsid w:val="007A071D"/>
    <w:rsid w:val="007A3C67"/>
    <w:rsid w:val="007B089F"/>
    <w:rsid w:val="007C1D01"/>
    <w:rsid w:val="007C271E"/>
    <w:rsid w:val="007C2FCC"/>
    <w:rsid w:val="007C4BCB"/>
    <w:rsid w:val="007C7F14"/>
    <w:rsid w:val="007D0B91"/>
    <w:rsid w:val="007D2343"/>
    <w:rsid w:val="007E5F95"/>
    <w:rsid w:val="007E6932"/>
    <w:rsid w:val="007F1542"/>
    <w:rsid w:val="007F30A4"/>
    <w:rsid w:val="007F7C06"/>
    <w:rsid w:val="00801765"/>
    <w:rsid w:val="008041E3"/>
    <w:rsid w:val="00806727"/>
    <w:rsid w:val="00811127"/>
    <w:rsid w:val="008172F7"/>
    <w:rsid w:val="00817D7D"/>
    <w:rsid w:val="00821FC2"/>
    <w:rsid w:val="00824D4F"/>
    <w:rsid w:val="00827213"/>
    <w:rsid w:val="00831B6F"/>
    <w:rsid w:val="0083277F"/>
    <w:rsid w:val="00833110"/>
    <w:rsid w:val="0083479C"/>
    <w:rsid w:val="00840C2F"/>
    <w:rsid w:val="0084223B"/>
    <w:rsid w:val="0084629F"/>
    <w:rsid w:val="008462DE"/>
    <w:rsid w:val="0084689D"/>
    <w:rsid w:val="00853283"/>
    <w:rsid w:val="0085734C"/>
    <w:rsid w:val="008641D1"/>
    <w:rsid w:val="00864927"/>
    <w:rsid w:val="00864A65"/>
    <w:rsid w:val="00864AA4"/>
    <w:rsid w:val="00864DD8"/>
    <w:rsid w:val="00867BD3"/>
    <w:rsid w:val="00875BB2"/>
    <w:rsid w:val="008764C0"/>
    <w:rsid w:val="00877E2F"/>
    <w:rsid w:val="008863D8"/>
    <w:rsid w:val="00887594"/>
    <w:rsid w:val="00894486"/>
    <w:rsid w:val="00895C3D"/>
    <w:rsid w:val="0089661F"/>
    <w:rsid w:val="008967A7"/>
    <w:rsid w:val="008A1F4C"/>
    <w:rsid w:val="008A3E89"/>
    <w:rsid w:val="008A4B58"/>
    <w:rsid w:val="008B13E0"/>
    <w:rsid w:val="008B45EB"/>
    <w:rsid w:val="008C29F0"/>
    <w:rsid w:val="008C4B92"/>
    <w:rsid w:val="008D0443"/>
    <w:rsid w:val="008D437C"/>
    <w:rsid w:val="0090281C"/>
    <w:rsid w:val="00910900"/>
    <w:rsid w:val="00912B1B"/>
    <w:rsid w:val="00913C14"/>
    <w:rsid w:val="00913CC9"/>
    <w:rsid w:val="0091550A"/>
    <w:rsid w:val="00916A60"/>
    <w:rsid w:val="00921B75"/>
    <w:rsid w:val="00922C50"/>
    <w:rsid w:val="009236B6"/>
    <w:rsid w:val="00925614"/>
    <w:rsid w:val="00925B2E"/>
    <w:rsid w:val="00933664"/>
    <w:rsid w:val="009344D0"/>
    <w:rsid w:val="0094242B"/>
    <w:rsid w:val="00945EEE"/>
    <w:rsid w:val="0095240D"/>
    <w:rsid w:val="00953A14"/>
    <w:rsid w:val="009578E3"/>
    <w:rsid w:val="00967FD3"/>
    <w:rsid w:val="00970FD8"/>
    <w:rsid w:val="009723CD"/>
    <w:rsid w:val="00977FA6"/>
    <w:rsid w:val="009852C4"/>
    <w:rsid w:val="009868EC"/>
    <w:rsid w:val="0099024E"/>
    <w:rsid w:val="0099581E"/>
    <w:rsid w:val="009A3EA8"/>
    <w:rsid w:val="009A6068"/>
    <w:rsid w:val="009A60F1"/>
    <w:rsid w:val="009A7268"/>
    <w:rsid w:val="009B1EC5"/>
    <w:rsid w:val="009B2258"/>
    <w:rsid w:val="009C00AF"/>
    <w:rsid w:val="009C1DBD"/>
    <w:rsid w:val="009C2403"/>
    <w:rsid w:val="009C29EB"/>
    <w:rsid w:val="009C31A9"/>
    <w:rsid w:val="009C5F9D"/>
    <w:rsid w:val="009D1DE8"/>
    <w:rsid w:val="009D2EF9"/>
    <w:rsid w:val="009D43CB"/>
    <w:rsid w:val="009D4704"/>
    <w:rsid w:val="009D6128"/>
    <w:rsid w:val="009E116E"/>
    <w:rsid w:val="009E1347"/>
    <w:rsid w:val="009E1EA9"/>
    <w:rsid w:val="009E67C7"/>
    <w:rsid w:val="009E6F32"/>
    <w:rsid w:val="009F0566"/>
    <w:rsid w:val="009F0F35"/>
    <w:rsid w:val="009F50D4"/>
    <w:rsid w:val="00A00718"/>
    <w:rsid w:val="00A060E7"/>
    <w:rsid w:val="00A06FE9"/>
    <w:rsid w:val="00A1601E"/>
    <w:rsid w:val="00A16F0A"/>
    <w:rsid w:val="00A2009C"/>
    <w:rsid w:val="00A247C1"/>
    <w:rsid w:val="00A25D36"/>
    <w:rsid w:val="00A351AE"/>
    <w:rsid w:val="00A35DF8"/>
    <w:rsid w:val="00A37DF5"/>
    <w:rsid w:val="00A41531"/>
    <w:rsid w:val="00A41F6F"/>
    <w:rsid w:val="00A44689"/>
    <w:rsid w:val="00A448B7"/>
    <w:rsid w:val="00A5172E"/>
    <w:rsid w:val="00A5438D"/>
    <w:rsid w:val="00A55DE3"/>
    <w:rsid w:val="00A5603F"/>
    <w:rsid w:val="00A56E91"/>
    <w:rsid w:val="00A602B9"/>
    <w:rsid w:val="00A7483E"/>
    <w:rsid w:val="00A75308"/>
    <w:rsid w:val="00A802E1"/>
    <w:rsid w:val="00A80E19"/>
    <w:rsid w:val="00A8158C"/>
    <w:rsid w:val="00A82BDC"/>
    <w:rsid w:val="00A83C40"/>
    <w:rsid w:val="00A8671F"/>
    <w:rsid w:val="00A8691A"/>
    <w:rsid w:val="00A86FBD"/>
    <w:rsid w:val="00A956CA"/>
    <w:rsid w:val="00AA71CE"/>
    <w:rsid w:val="00AB0B07"/>
    <w:rsid w:val="00AB268A"/>
    <w:rsid w:val="00AC156C"/>
    <w:rsid w:val="00AC2CC5"/>
    <w:rsid w:val="00AC3DB8"/>
    <w:rsid w:val="00AC4D59"/>
    <w:rsid w:val="00AC5609"/>
    <w:rsid w:val="00AE079A"/>
    <w:rsid w:val="00AE3732"/>
    <w:rsid w:val="00AE483F"/>
    <w:rsid w:val="00AF17D3"/>
    <w:rsid w:val="00AF47E6"/>
    <w:rsid w:val="00B03430"/>
    <w:rsid w:val="00B102ED"/>
    <w:rsid w:val="00B103D1"/>
    <w:rsid w:val="00B10B03"/>
    <w:rsid w:val="00B175B7"/>
    <w:rsid w:val="00B22B78"/>
    <w:rsid w:val="00B271DC"/>
    <w:rsid w:val="00B307B2"/>
    <w:rsid w:val="00B325F1"/>
    <w:rsid w:val="00B34674"/>
    <w:rsid w:val="00B34770"/>
    <w:rsid w:val="00B37557"/>
    <w:rsid w:val="00B40A56"/>
    <w:rsid w:val="00B42582"/>
    <w:rsid w:val="00B43610"/>
    <w:rsid w:val="00B4568E"/>
    <w:rsid w:val="00B45BE7"/>
    <w:rsid w:val="00B53C1D"/>
    <w:rsid w:val="00B551E1"/>
    <w:rsid w:val="00B558AB"/>
    <w:rsid w:val="00B619D8"/>
    <w:rsid w:val="00B63149"/>
    <w:rsid w:val="00B63F71"/>
    <w:rsid w:val="00B657F7"/>
    <w:rsid w:val="00B6659E"/>
    <w:rsid w:val="00B71806"/>
    <w:rsid w:val="00B75BAC"/>
    <w:rsid w:val="00B8244D"/>
    <w:rsid w:val="00B900F5"/>
    <w:rsid w:val="00B90BC0"/>
    <w:rsid w:val="00B90EF9"/>
    <w:rsid w:val="00B913B0"/>
    <w:rsid w:val="00B9177E"/>
    <w:rsid w:val="00B9461E"/>
    <w:rsid w:val="00BA3BFD"/>
    <w:rsid w:val="00BA6592"/>
    <w:rsid w:val="00BA7252"/>
    <w:rsid w:val="00BB2D77"/>
    <w:rsid w:val="00BB2FF7"/>
    <w:rsid w:val="00BB3F08"/>
    <w:rsid w:val="00BC02EA"/>
    <w:rsid w:val="00BC6E0C"/>
    <w:rsid w:val="00BD058D"/>
    <w:rsid w:val="00BD1C2F"/>
    <w:rsid w:val="00BD2A18"/>
    <w:rsid w:val="00BD49F9"/>
    <w:rsid w:val="00BD68FE"/>
    <w:rsid w:val="00BE2D43"/>
    <w:rsid w:val="00BE3E91"/>
    <w:rsid w:val="00BE5DE5"/>
    <w:rsid w:val="00BE616F"/>
    <w:rsid w:val="00BF001D"/>
    <w:rsid w:val="00BF70A5"/>
    <w:rsid w:val="00C11EB4"/>
    <w:rsid w:val="00C122E3"/>
    <w:rsid w:val="00C140D4"/>
    <w:rsid w:val="00C15C9F"/>
    <w:rsid w:val="00C17C23"/>
    <w:rsid w:val="00C226FD"/>
    <w:rsid w:val="00C22E0B"/>
    <w:rsid w:val="00C25478"/>
    <w:rsid w:val="00C254D5"/>
    <w:rsid w:val="00C2770B"/>
    <w:rsid w:val="00C335D6"/>
    <w:rsid w:val="00C361AF"/>
    <w:rsid w:val="00C369FE"/>
    <w:rsid w:val="00C3783F"/>
    <w:rsid w:val="00C37B79"/>
    <w:rsid w:val="00C40B66"/>
    <w:rsid w:val="00C40D11"/>
    <w:rsid w:val="00C41260"/>
    <w:rsid w:val="00C41861"/>
    <w:rsid w:val="00C41953"/>
    <w:rsid w:val="00C42FF6"/>
    <w:rsid w:val="00C43FB5"/>
    <w:rsid w:val="00C452D9"/>
    <w:rsid w:val="00C45EE7"/>
    <w:rsid w:val="00C46F16"/>
    <w:rsid w:val="00C4746D"/>
    <w:rsid w:val="00C47746"/>
    <w:rsid w:val="00C47ACE"/>
    <w:rsid w:val="00C62C69"/>
    <w:rsid w:val="00C671FE"/>
    <w:rsid w:val="00C67572"/>
    <w:rsid w:val="00C70C46"/>
    <w:rsid w:val="00C748CA"/>
    <w:rsid w:val="00C8074A"/>
    <w:rsid w:val="00C82468"/>
    <w:rsid w:val="00C92356"/>
    <w:rsid w:val="00C939F6"/>
    <w:rsid w:val="00C93FF7"/>
    <w:rsid w:val="00C976E1"/>
    <w:rsid w:val="00CB07A2"/>
    <w:rsid w:val="00CB13E2"/>
    <w:rsid w:val="00CB1A64"/>
    <w:rsid w:val="00CB3968"/>
    <w:rsid w:val="00CB61F5"/>
    <w:rsid w:val="00CB62FB"/>
    <w:rsid w:val="00CB7224"/>
    <w:rsid w:val="00CC119E"/>
    <w:rsid w:val="00CC31DE"/>
    <w:rsid w:val="00CC367E"/>
    <w:rsid w:val="00CC785A"/>
    <w:rsid w:val="00CD469C"/>
    <w:rsid w:val="00CE4B0D"/>
    <w:rsid w:val="00CE5264"/>
    <w:rsid w:val="00CE71C1"/>
    <w:rsid w:val="00CF0E24"/>
    <w:rsid w:val="00CF63C6"/>
    <w:rsid w:val="00CF75C6"/>
    <w:rsid w:val="00D02428"/>
    <w:rsid w:val="00D06922"/>
    <w:rsid w:val="00D07344"/>
    <w:rsid w:val="00D07A97"/>
    <w:rsid w:val="00D12C3F"/>
    <w:rsid w:val="00D13D73"/>
    <w:rsid w:val="00D166B0"/>
    <w:rsid w:val="00D16CF1"/>
    <w:rsid w:val="00D17236"/>
    <w:rsid w:val="00D177F3"/>
    <w:rsid w:val="00D201B0"/>
    <w:rsid w:val="00D205D6"/>
    <w:rsid w:val="00D25372"/>
    <w:rsid w:val="00D27E41"/>
    <w:rsid w:val="00D31EDA"/>
    <w:rsid w:val="00D3325F"/>
    <w:rsid w:val="00D4010D"/>
    <w:rsid w:val="00D430F9"/>
    <w:rsid w:val="00D509E1"/>
    <w:rsid w:val="00D52087"/>
    <w:rsid w:val="00D53060"/>
    <w:rsid w:val="00D54D5E"/>
    <w:rsid w:val="00D55F40"/>
    <w:rsid w:val="00D572C0"/>
    <w:rsid w:val="00D61541"/>
    <w:rsid w:val="00D623DA"/>
    <w:rsid w:val="00D63CE5"/>
    <w:rsid w:val="00D64E6C"/>
    <w:rsid w:val="00D711B8"/>
    <w:rsid w:val="00D7148D"/>
    <w:rsid w:val="00D72A98"/>
    <w:rsid w:val="00D74A48"/>
    <w:rsid w:val="00D7634C"/>
    <w:rsid w:val="00D80083"/>
    <w:rsid w:val="00D802F7"/>
    <w:rsid w:val="00D82C04"/>
    <w:rsid w:val="00D91E59"/>
    <w:rsid w:val="00D91FD5"/>
    <w:rsid w:val="00D93C6D"/>
    <w:rsid w:val="00D94225"/>
    <w:rsid w:val="00D94CA9"/>
    <w:rsid w:val="00DA0420"/>
    <w:rsid w:val="00DA09EB"/>
    <w:rsid w:val="00DA0A20"/>
    <w:rsid w:val="00DA1A3E"/>
    <w:rsid w:val="00DA5232"/>
    <w:rsid w:val="00DA6541"/>
    <w:rsid w:val="00DB40E2"/>
    <w:rsid w:val="00DB5B49"/>
    <w:rsid w:val="00DC02FD"/>
    <w:rsid w:val="00DC0F20"/>
    <w:rsid w:val="00DC2BEC"/>
    <w:rsid w:val="00DC3022"/>
    <w:rsid w:val="00DC6547"/>
    <w:rsid w:val="00DC767C"/>
    <w:rsid w:val="00DC7F2D"/>
    <w:rsid w:val="00DD061B"/>
    <w:rsid w:val="00DD0A87"/>
    <w:rsid w:val="00DD2EEF"/>
    <w:rsid w:val="00DD3F06"/>
    <w:rsid w:val="00DD5125"/>
    <w:rsid w:val="00DE51FB"/>
    <w:rsid w:val="00DE747A"/>
    <w:rsid w:val="00DF16EC"/>
    <w:rsid w:val="00DF3762"/>
    <w:rsid w:val="00DF4790"/>
    <w:rsid w:val="00DF60B5"/>
    <w:rsid w:val="00E032C1"/>
    <w:rsid w:val="00E06E93"/>
    <w:rsid w:val="00E10DED"/>
    <w:rsid w:val="00E11ABB"/>
    <w:rsid w:val="00E16165"/>
    <w:rsid w:val="00E163ED"/>
    <w:rsid w:val="00E172C5"/>
    <w:rsid w:val="00E1763A"/>
    <w:rsid w:val="00E2481B"/>
    <w:rsid w:val="00E26406"/>
    <w:rsid w:val="00E2675C"/>
    <w:rsid w:val="00E26ADF"/>
    <w:rsid w:val="00E30111"/>
    <w:rsid w:val="00E36F56"/>
    <w:rsid w:val="00E40E41"/>
    <w:rsid w:val="00E41D97"/>
    <w:rsid w:val="00E42E20"/>
    <w:rsid w:val="00E436F5"/>
    <w:rsid w:val="00E44D0C"/>
    <w:rsid w:val="00E4586E"/>
    <w:rsid w:val="00E47B0C"/>
    <w:rsid w:val="00E519D7"/>
    <w:rsid w:val="00E54A53"/>
    <w:rsid w:val="00E6400D"/>
    <w:rsid w:val="00E649A7"/>
    <w:rsid w:val="00E67212"/>
    <w:rsid w:val="00E70DE9"/>
    <w:rsid w:val="00E76BBB"/>
    <w:rsid w:val="00E77D2E"/>
    <w:rsid w:val="00E83E53"/>
    <w:rsid w:val="00E84B1B"/>
    <w:rsid w:val="00E9154D"/>
    <w:rsid w:val="00E9402A"/>
    <w:rsid w:val="00E9617F"/>
    <w:rsid w:val="00EA35F6"/>
    <w:rsid w:val="00EA5CB6"/>
    <w:rsid w:val="00EA7562"/>
    <w:rsid w:val="00EA7BBA"/>
    <w:rsid w:val="00EB1DBD"/>
    <w:rsid w:val="00EB394B"/>
    <w:rsid w:val="00EB7350"/>
    <w:rsid w:val="00ED254D"/>
    <w:rsid w:val="00ED7F37"/>
    <w:rsid w:val="00EE12F9"/>
    <w:rsid w:val="00EE2540"/>
    <w:rsid w:val="00EE44F7"/>
    <w:rsid w:val="00EE7EF6"/>
    <w:rsid w:val="00EF06B0"/>
    <w:rsid w:val="00EF0903"/>
    <w:rsid w:val="00EF2620"/>
    <w:rsid w:val="00EF318A"/>
    <w:rsid w:val="00EF391F"/>
    <w:rsid w:val="00EF57B0"/>
    <w:rsid w:val="00EF5EC3"/>
    <w:rsid w:val="00EF6CF7"/>
    <w:rsid w:val="00F0043B"/>
    <w:rsid w:val="00F0185C"/>
    <w:rsid w:val="00F01B8F"/>
    <w:rsid w:val="00F035C7"/>
    <w:rsid w:val="00F05333"/>
    <w:rsid w:val="00F05F1B"/>
    <w:rsid w:val="00F06E11"/>
    <w:rsid w:val="00F07882"/>
    <w:rsid w:val="00F10A0F"/>
    <w:rsid w:val="00F114CC"/>
    <w:rsid w:val="00F121E8"/>
    <w:rsid w:val="00F14780"/>
    <w:rsid w:val="00F15B1C"/>
    <w:rsid w:val="00F15C92"/>
    <w:rsid w:val="00F2356B"/>
    <w:rsid w:val="00F31509"/>
    <w:rsid w:val="00F40344"/>
    <w:rsid w:val="00F54580"/>
    <w:rsid w:val="00F56B37"/>
    <w:rsid w:val="00F61541"/>
    <w:rsid w:val="00F658AF"/>
    <w:rsid w:val="00F674F3"/>
    <w:rsid w:val="00F70D55"/>
    <w:rsid w:val="00F74110"/>
    <w:rsid w:val="00F82E60"/>
    <w:rsid w:val="00F83924"/>
    <w:rsid w:val="00F92EE1"/>
    <w:rsid w:val="00FA38A5"/>
    <w:rsid w:val="00FA7A5E"/>
    <w:rsid w:val="00FB111E"/>
    <w:rsid w:val="00FB2A49"/>
    <w:rsid w:val="00FC5AF9"/>
    <w:rsid w:val="00FD0B85"/>
    <w:rsid w:val="00FD12F8"/>
    <w:rsid w:val="00FD2B07"/>
    <w:rsid w:val="00FD4D40"/>
    <w:rsid w:val="00FD561A"/>
    <w:rsid w:val="00FD7191"/>
    <w:rsid w:val="00FE31A9"/>
    <w:rsid w:val="00FE61FB"/>
    <w:rsid w:val="00FE6BCF"/>
    <w:rsid w:val="00FE7A29"/>
    <w:rsid w:val="00FF0422"/>
    <w:rsid w:val="00FF21EB"/>
    <w:rsid w:val="00FF31CE"/>
    <w:rsid w:val="00FF4BDA"/>
    <w:rsid w:val="00FF7689"/>
    <w:rsid w:val="01FC393C"/>
    <w:rsid w:val="040C61FC"/>
    <w:rsid w:val="04C1601D"/>
    <w:rsid w:val="04DE17B1"/>
    <w:rsid w:val="068F72EC"/>
    <w:rsid w:val="07080244"/>
    <w:rsid w:val="07D1173C"/>
    <w:rsid w:val="08730396"/>
    <w:rsid w:val="09246705"/>
    <w:rsid w:val="0D75230E"/>
    <w:rsid w:val="0EF110A1"/>
    <w:rsid w:val="0FE60784"/>
    <w:rsid w:val="0FE65C3E"/>
    <w:rsid w:val="0FFB61D3"/>
    <w:rsid w:val="103E0CAA"/>
    <w:rsid w:val="10592683"/>
    <w:rsid w:val="10DD53C0"/>
    <w:rsid w:val="11EE68DC"/>
    <w:rsid w:val="12055102"/>
    <w:rsid w:val="15453502"/>
    <w:rsid w:val="16847F78"/>
    <w:rsid w:val="174A656B"/>
    <w:rsid w:val="17DD44C3"/>
    <w:rsid w:val="17E30CE1"/>
    <w:rsid w:val="1A2602E5"/>
    <w:rsid w:val="1A633216"/>
    <w:rsid w:val="1BDC6E1D"/>
    <w:rsid w:val="1C8A6858"/>
    <w:rsid w:val="1D245443"/>
    <w:rsid w:val="1D766D1D"/>
    <w:rsid w:val="1E0457CE"/>
    <w:rsid w:val="1E2129FA"/>
    <w:rsid w:val="1E815869"/>
    <w:rsid w:val="1F0B1079"/>
    <w:rsid w:val="1FAA2232"/>
    <w:rsid w:val="1FE66AEF"/>
    <w:rsid w:val="206D563D"/>
    <w:rsid w:val="21111D34"/>
    <w:rsid w:val="21456515"/>
    <w:rsid w:val="21F71036"/>
    <w:rsid w:val="22D929E7"/>
    <w:rsid w:val="239B3F88"/>
    <w:rsid w:val="23F2162A"/>
    <w:rsid w:val="24DE55E0"/>
    <w:rsid w:val="24E549AE"/>
    <w:rsid w:val="25A3497D"/>
    <w:rsid w:val="2A801C7A"/>
    <w:rsid w:val="2BFB641E"/>
    <w:rsid w:val="2D4340F1"/>
    <w:rsid w:val="2DFF17A7"/>
    <w:rsid w:val="2FA64064"/>
    <w:rsid w:val="30B4469A"/>
    <w:rsid w:val="31007E23"/>
    <w:rsid w:val="324D1DB2"/>
    <w:rsid w:val="34991895"/>
    <w:rsid w:val="351E4408"/>
    <w:rsid w:val="353F51AD"/>
    <w:rsid w:val="35752598"/>
    <w:rsid w:val="3A2F716C"/>
    <w:rsid w:val="3A48382A"/>
    <w:rsid w:val="3ACB02D7"/>
    <w:rsid w:val="3AED7AED"/>
    <w:rsid w:val="3BC84EC1"/>
    <w:rsid w:val="3C69399F"/>
    <w:rsid w:val="3D2A788F"/>
    <w:rsid w:val="3D711004"/>
    <w:rsid w:val="3D9D0EC2"/>
    <w:rsid w:val="3E3C17C2"/>
    <w:rsid w:val="3E655649"/>
    <w:rsid w:val="414B2347"/>
    <w:rsid w:val="43CE1B1B"/>
    <w:rsid w:val="44BD080D"/>
    <w:rsid w:val="45EC76EE"/>
    <w:rsid w:val="462805D5"/>
    <w:rsid w:val="46A75CB7"/>
    <w:rsid w:val="46BA5EFB"/>
    <w:rsid w:val="47620561"/>
    <w:rsid w:val="48910A00"/>
    <w:rsid w:val="49994465"/>
    <w:rsid w:val="4A8264A7"/>
    <w:rsid w:val="4B0928E1"/>
    <w:rsid w:val="4D603EB5"/>
    <w:rsid w:val="4E4016BE"/>
    <w:rsid w:val="4EDA0D72"/>
    <w:rsid w:val="4F1019AF"/>
    <w:rsid w:val="50117E0D"/>
    <w:rsid w:val="507E0230"/>
    <w:rsid w:val="56AF07FD"/>
    <w:rsid w:val="57454142"/>
    <w:rsid w:val="57DA208E"/>
    <w:rsid w:val="59150454"/>
    <w:rsid w:val="59DF7F6F"/>
    <w:rsid w:val="5ADA6985"/>
    <w:rsid w:val="5C3D7790"/>
    <w:rsid w:val="5DD41D23"/>
    <w:rsid w:val="5DFB5299"/>
    <w:rsid w:val="601F7A52"/>
    <w:rsid w:val="60E02C8D"/>
    <w:rsid w:val="61162B2B"/>
    <w:rsid w:val="61887EC3"/>
    <w:rsid w:val="633554E7"/>
    <w:rsid w:val="64366C48"/>
    <w:rsid w:val="662A7BBA"/>
    <w:rsid w:val="66F834FF"/>
    <w:rsid w:val="696C6AE6"/>
    <w:rsid w:val="6A5F2A0D"/>
    <w:rsid w:val="6A686C57"/>
    <w:rsid w:val="6BAA4812"/>
    <w:rsid w:val="6D3B4F9B"/>
    <w:rsid w:val="6D661123"/>
    <w:rsid w:val="6DAA023D"/>
    <w:rsid w:val="6E645777"/>
    <w:rsid w:val="6E9E60E5"/>
    <w:rsid w:val="70B70D73"/>
    <w:rsid w:val="70DE6AF5"/>
    <w:rsid w:val="71EA2687"/>
    <w:rsid w:val="73D43F73"/>
    <w:rsid w:val="740D1930"/>
    <w:rsid w:val="7475680E"/>
    <w:rsid w:val="7615372B"/>
    <w:rsid w:val="76A51045"/>
    <w:rsid w:val="76D27045"/>
    <w:rsid w:val="775145CA"/>
    <w:rsid w:val="775A3499"/>
    <w:rsid w:val="778A3849"/>
    <w:rsid w:val="77BB1216"/>
    <w:rsid w:val="787D4D0A"/>
    <w:rsid w:val="790B17A4"/>
    <w:rsid w:val="79CC4F29"/>
    <w:rsid w:val="7ADD7FDB"/>
    <w:rsid w:val="7AEB6929"/>
    <w:rsid w:val="7B0D0D93"/>
    <w:rsid w:val="7BDA760A"/>
    <w:rsid w:val="7CD75779"/>
    <w:rsid w:val="7D7A75D9"/>
    <w:rsid w:val="7E567266"/>
    <w:rsid w:val="7F0612FD"/>
    <w:rsid w:val="7F6A7DBB"/>
    <w:rsid w:val="7FBA6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qFormat="1" w:unhideWhenUsed="0" w:uiPriority="99"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480" w:firstLineChars="20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23"/>
    <w:qFormat/>
    <w:uiPriority w:val="0"/>
    <w:pPr>
      <w:keepNext/>
      <w:keepLines/>
      <w:ind w:firstLine="0" w:firstLineChars="0"/>
      <w:outlineLvl w:val="0"/>
    </w:pPr>
    <w:rPr>
      <w:rFonts w:ascii="黑体" w:hAnsi="黑体" w:eastAsia="黑体"/>
      <w:b/>
      <w:bCs/>
      <w:kern w:val="44"/>
      <w:sz w:val="28"/>
      <w:szCs w:val="28"/>
    </w:rPr>
  </w:style>
  <w:style w:type="paragraph" w:styleId="3">
    <w:name w:val="heading 2"/>
    <w:basedOn w:val="1"/>
    <w:next w:val="1"/>
    <w:link w:val="24"/>
    <w:unhideWhenUsed/>
    <w:qFormat/>
    <w:uiPriority w:val="0"/>
    <w:pPr>
      <w:ind w:firstLine="482"/>
      <w:outlineLvl w:val="1"/>
    </w:pPr>
    <w:rPr>
      <w:rFonts w:asciiTheme="minorEastAsia" w:hAnsiTheme="minorEastAsia"/>
      <w:b/>
    </w:rPr>
  </w:style>
  <w:style w:type="paragraph" w:styleId="4">
    <w:name w:val="heading 3"/>
    <w:basedOn w:val="1"/>
    <w:next w:val="1"/>
    <w:link w:val="29"/>
    <w:unhideWhenUsed/>
    <w:qFormat/>
    <w:uiPriority w:val="0"/>
    <w:pPr>
      <w:keepNext/>
      <w:keepLines/>
      <w:ind w:firstLine="643"/>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5">
    <w:name w:val="caption"/>
    <w:basedOn w:val="1"/>
    <w:next w:val="1"/>
    <w:unhideWhenUsed/>
    <w:qFormat/>
    <w:uiPriority w:val="0"/>
    <w:rPr>
      <w:rFonts w:ascii="Calibri" w:hAnsi="Calibri" w:eastAsia="宋体" w:cstheme="majorBidi"/>
      <w:szCs w:val="20"/>
    </w:rPr>
  </w:style>
  <w:style w:type="paragraph" w:styleId="6">
    <w:name w:val="Document Map"/>
    <w:basedOn w:val="1"/>
    <w:link w:val="27"/>
    <w:qFormat/>
    <w:uiPriority w:val="0"/>
    <w:rPr>
      <w:rFonts w:ascii="宋体" w:eastAsia="宋体"/>
      <w:sz w:val="18"/>
      <w:szCs w:val="18"/>
    </w:rPr>
  </w:style>
  <w:style w:type="paragraph" w:styleId="7">
    <w:name w:val="toc 3"/>
    <w:basedOn w:val="1"/>
    <w:next w:val="1"/>
    <w:qFormat/>
    <w:uiPriority w:val="39"/>
    <w:pPr>
      <w:ind w:left="840" w:leftChars="400"/>
    </w:pPr>
  </w:style>
  <w:style w:type="paragraph" w:styleId="8">
    <w:name w:val="Balloon Text"/>
    <w:basedOn w:val="1"/>
    <w:link w:val="26"/>
    <w:qFormat/>
    <w:uiPriority w:val="0"/>
    <w:pPr>
      <w:spacing w:line="240" w:lineRule="auto"/>
    </w:pPr>
    <w:rPr>
      <w:sz w:val="18"/>
      <w:szCs w:val="18"/>
    </w:rPr>
  </w:style>
  <w:style w:type="paragraph" w:styleId="9">
    <w:name w:val="footer"/>
    <w:basedOn w:val="1"/>
    <w:link w:val="21"/>
    <w:qFormat/>
    <w:uiPriority w:val="99"/>
    <w:pPr>
      <w:tabs>
        <w:tab w:val="center" w:pos="4153"/>
        <w:tab w:val="right" w:pos="8306"/>
      </w:tabs>
      <w:jc w:val="left"/>
    </w:pPr>
    <w:rPr>
      <w:sz w:val="18"/>
      <w:szCs w:val="18"/>
    </w:rPr>
  </w:style>
  <w:style w:type="paragraph" w:styleId="10">
    <w:name w:val="header"/>
    <w:basedOn w:val="1"/>
    <w:link w:val="20"/>
    <w:qFormat/>
    <w:uiPriority w:val="0"/>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39"/>
  </w:style>
  <w:style w:type="paragraph" w:styleId="12">
    <w:name w:val="table of figures"/>
    <w:basedOn w:val="1"/>
    <w:next w:val="1"/>
    <w:qFormat/>
    <w:uiPriority w:val="99"/>
    <w:pPr>
      <w:ind w:left="200" w:leftChars="200" w:hanging="200" w:hangingChars="200"/>
    </w:pPr>
  </w:style>
  <w:style w:type="paragraph" w:styleId="13">
    <w:name w:val="toc 2"/>
    <w:basedOn w:val="1"/>
    <w:next w:val="1"/>
    <w:qFormat/>
    <w:uiPriority w:val="39"/>
    <w:pPr>
      <w:ind w:left="420" w:leftChars="200"/>
    </w:pPr>
  </w:style>
  <w:style w:type="paragraph" w:styleId="14">
    <w:name w:val="Normal (Web)"/>
    <w:basedOn w:val="1"/>
    <w:unhideWhenUsed/>
    <w:qFormat/>
    <w:uiPriority w:val="99"/>
    <w:pPr>
      <w:widowControl/>
      <w:adjustRightInd/>
      <w:snapToGrid/>
      <w:spacing w:before="100" w:beforeAutospacing="1" w:after="100" w:afterAutospacing="1" w:line="240" w:lineRule="auto"/>
      <w:ind w:firstLine="0" w:firstLineChars="0"/>
      <w:jc w:val="left"/>
    </w:pPr>
    <w:rPr>
      <w:rFonts w:ascii="宋体" w:hAnsi="宋体" w:eastAsia="宋体" w:cs="宋体"/>
      <w:kern w:val="0"/>
    </w:rPr>
  </w:style>
  <w:style w:type="paragraph" w:styleId="15">
    <w:name w:val="Title"/>
    <w:basedOn w:val="1"/>
    <w:next w:val="1"/>
    <w:link w:val="30"/>
    <w:qFormat/>
    <w:uiPriority w:val="0"/>
    <w:pPr>
      <w:ind w:firstLine="0" w:firstLineChars="0"/>
      <w:jc w:val="center"/>
      <w:outlineLvl w:val="0"/>
    </w:pPr>
    <w:rPr>
      <w:rFonts w:ascii="黑体" w:eastAsia="黑体"/>
      <w:b/>
      <w:sz w:val="44"/>
      <w:szCs w:val="44"/>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页眉 字符"/>
    <w:basedOn w:val="18"/>
    <w:link w:val="10"/>
    <w:qFormat/>
    <w:uiPriority w:val="0"/>
    <w:rPr>
      <w:kern w:val="2"/>
      <w:sz w:val="18"/>
      <w:szCs w:val="18"/>
    </w:rPr>
  </w:style>
  <w:style w:type="character" w:customStyle="1" w:styleId="21">
    <w:name w:val="页脚 字符"/>
    <w:basedOn w:val="18"/>
    <w:link w:val="9"/>
    <w:qFormat/>
    <w:uiPriority w:val="99"/>
    <w:rPr>
      <w:kern w:val="2"/>
      <w:sz w:val="18"/>
      <w:szCs w:val="18"/>
    </w:rPr>
  </w:style>
  <w:style w:type="paragraph" w:styleId="22">
    <w:name w:val="List Paragraph"/>
    <w:basedOn w:val="1"/>
    <w:unhideWhenUsed/>
    <w:qFormat/>
    <w:uiPriority w:val="34"/>
    <w:pPr>
      <w:ind w:firstLine="420"/>
    </w:pPr>
  </w:style>
  <w:style w:type="character" w:customStyle="1" w:styleId="23">
    <w:name w:val="标题 1 字符"/>
    <w:basedOn w:val="18"/>
    <w:link w:val="2"/>
    <w:qFormat/>
    <w:uiPriority w:val="0"/>
    <w:rPr>
      <w:rFonts w:ascii="黑体" w:hAnsi="黑体" w:eastAsia="黑体"/>
      <w:b/>
      <w:bCs/>
      <w:kern w:val="44"/>
      <w:sz w:val="28"/>
      <w:szCs w:val="28"/>
    </w:rPr>
  </w:style>
  <w:style w:type="character" w:customStyle="1" w:styleId="24">
    <w:name w:val="标题 2 字符"/>
    <w:basedOn w:val="18"/>
    <w:link w:val="3"/>
    <w:qFormat/>
    <w:uiPriority w:val="0"/>
    <w:rPr>
      <w:rFonts w:asciiTheme="minorEastAsia" w:hAnsiTheme="minorEastAsia"/>
      <w:b/>
      <w:kern w:val="2"/>
      <w:sz w:val="24"/>
      <w:szCs w:val="24"/>
    </w:rPr>
  </w:style>
  <w:style w:type="paragraph" w:customStyle="1" w:styleId="25">
    <w:name w:val="TOC 标题1"/>
    <w:basedOn w:val="2"/>
    <w:next w:val="1"/>
    <w:semiHidden/>
    <w:unhideWhenUsed/>
    <w:qFormat/>
    <w:uiPriority w:val="39"/>
    <w:pPr>
      <w:widowControl/>
      <w:adjustRightInd/>
      <w:snapToGrid/>
      <w:spacing w:before="480" w:line="276" w:lineRule="auto"/>
      <w:jc w:val="left"/>
      <w:outlineLvl w:val="9"/>
    </w:pPr>
    <w:rPr>
      <w:rFonts w:asciiTheme="majorHAnsi" w:hAnsiTheme="majorHAnsi" w:eastAsiaTheme="majorEastAsia" w:cstheme="majorBidi"/>
      <w:color w:val="2E75B6" w:themeColor="accent1" w:themeShade="BF"/>
      <w:kern w:val="0"/>
    </w:rPr>
  </w:style>
  <w:style w:type="character" w:customStyle="1" w:styleId="26">
    <w:name w:val="批注框文本 字符"/>
    <w:basedOn w:val="18"/>
    <w:link w:val="8"/>
    <w:qFormat/>
    <w:uiPriority w:val="0"/>
    <w:rPr>
      <w:kern w:val="2"/>
      <w:sz w:val="18"/>
      <w:szCs w:val="18"/>
    </w:rPr>
  </w:style>
  <w:style w:type="character" w:customStyle="1" w:styleId="27">
    <w:name w:val="文档结构图 字符"/>
    <w:basedOn w:val="18"/>
    <w:link w:val="6"/>
    <w:qFormat/>
    <w:uiPriority w:val="0"/>
    <w:rPr>
      <w:rFonts w:ascii="宋体" w:eastAsia="宋体"/>
      <w:kern w:val="2"/>
      <w:sz w:val="18"/>
      <w:szCs w:val="18"/>
    </w:rPr>
  </w:style>
  <w:style w:type="paragraph" w:customStyle="1" w:styleId="28">
    <w:name w:val="[基本段落]"/>
    <w:basedOn w:val="1"/>
    <w:unhideWhenUsed/>
    <w:qFormat/>
    <w:uiPriority w:val="99"/>
    <w:pPr>
      <w:autoSpaceDE w:val="0"/>
      <w:autoSpaceDN w:val="0"/>
      <w:snapToGrid/>
      <w:spacing w:line="288" w:lineRule="auto"/>
      <w:ind w:firstLine="0" w:firstLineChars="0"/>
      <w:textAlignment w:val="center"/>
    </w:pPr>
    <w:rPr>
      <w:rFonts w:hint="eastAsia" w:ascii="Adobe 宋体 Std L" w:hAnsi="Adobe 宋体 Std L" w:eastAsia="Adobe 宋体 Std L"/>
      <w:color w:val="000000"/>
      <w:kern w:val="0"/>
      <w:szCs w:val="20"/>
      <w:lang w:val="zh-CN"/>
    </w:rPr>
  </w:style>
  <w:style w:type="character" w:customStyle="1" w:styleId="29">
    <w:name w:val="标题 3 字符"/>
    <w:basedOn w:val="18"/>
    <w:link w:val="4"/>
    <w:qFormat/>
    <w:uiPriority w:val="0"/>
    <w:rPr>
      <w:b/>
      <w:bCs/>
      <w:kern w:val="2"/>
      <w:sz w:val="32"/>
      <w:szCs w:val="32"/>
    </w:rPr>
  </w:style>
  <w:style w:type="character" w:customStyle="1" w:styleId="30">
    <w:name w:val="标题 字符"/>
    <w:basedOn w:val="18"/>
    <w:link w:val="15"/>
    <w:qFormat/>
    <w:uiPriority w:val="0"/>
    <w:rPr>
      <w:rFonts w:ascii="黑体" w:eastAsia="黑体"/>
      <w:b/>
      <w:kern w:val="2"/>
      <w:sz w:val="44"/>
      <w:szCs w:val="44"/>
    </w:rPr>
  </w:style>
  <w:style w:type="paragraph" w:customStyle="1" w:styleId="31">
    <w:name w:val="修订1"/>
    <w:hidden/>
    <w:unhideWhenUsed/>
    <w:qFormat/>
    <w:uiPriority w:val="99"/>
    <w:rPr>
      <w:rFonts w:asciiTheme="minorHAnsi" w:hAnsiTheme="minorHAnsi" w:eastAsiaTheme="minorEastAsia" w:cstheme="minorBidi"/>
      <w:kern w:val="2"/>
      <w:sz w:val="24"/>
      <w:szCs w:val="24"/>
      <w:lang w:val="en-US" w:eastAsia="zh-CN" w:bidi="ar-SA"/>
    </w:rPr>
  </w:style>
  <w:style w:type="character" w:customStyle="1" w:styleId="32">
    <w:name w:val="未处理的提及1"/>
    <w:basedOn w:val="1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9" Type="http://schemas.openxmlformats.org/officeDocument/2006/relationships/chart" Target="charts/chart83.xml"/><Relationship Id="rId98" Type="http://schemas.openxmlformats.org/officeDocument/2006/relationships/chart" Target="charts/chart82.xml"/><Relationship Id="rId97" Type="http://schemas.openxmlformats.org/officeDocument/2006/relationships/chart" Target="charts/chart81.xml"/><Relationship Id="rId96" Type="http://schemas.openxmlformats.org/officeDocument/2006/relationships/chart" Target="charts/chart80.xml"/><Relationship Id="rId95" Type="http://schemas.openxmlformats.org/officeDocument/2006/relationships/chart" Target="charts/chart79.xml"/><Relationship Id="rId94" Type="http://schemas.openxmlformats.org/officeDocument/2006/relationships/chart" Target="charts/chart78.xml"/><Relationship Id="rId93" Type="http://schemas.openxmlformats.org/officeDocument/2006/relationships/chart" Target="charts/chart77.xml"/><Relationship Id="rId92" Type="http://schemas.openxmlformats.org/officeDocument/2006/relationships/chart" Target="charts/chart76.xml"/><Relationship Id="rId91" Type="http://schemas.openxmlformats.org/officeDocument/2006/relationships/chart" Target="charts/chart75.xml"/><Relationship Id="rId90" Type="http://schemas.openxmlformats.org/officeDocument/2006/relationships/chart" Target="charts/chart74.xml"/><Relationship Id="rId9" Type="http://schemas.openxmlformats.org/officeDocument/2006/relationships/footer" Target="footer4.xml"/><Relationship Id="rId89" Type="http://schemas.openxmlformats.org/officeDocument/2006/relationships/chart" Target="charts/chart73.xml"/><Relationship Id="rId88" Type="http://schemas.openxmlformats.org/officeDocument/2006/relationships/chart" Target="charts/chart72.xml"/><Relationship Id="rId87" Type="http://schemas.openxmlformats.org/officeDocument/2006/relationships/chart" Target="charts/chart71.xml"/><Relationship Id="rId86" Type="http://schemas.openxmlformats.org/officeDocument/2006/relationships/chart" Target="charts/chart70.xml"/><Relationship Id="rId85" Type="http://schemas.openxmlformats.org/officeDocument/2006/relationships/chart" Target="charts/chart69.xml"/><Relationship Id="rId84" Type="http://schemas.openxmlformats.org/officeDocument/2006/relationships/chart" Target="charts/chart68.xml"/><Relationship Id="rId83" Type="http://schemas.openxmlformats.org/officeDocument/2006/relationships/chart" Target="charts/chart67.xml"/><Relationship Id="rId82" Type="http://schemas.openxmlformats.org/officeDocument/2006/relationships/chart" Target="charts/chart66.xml"/><Relationship Id="rId81" Type="http://schemas.openxmlformats.org/officeDocument/2006/relationships/chart" Target="charts/chart65.xml"/><Relationship Id="rId80" Type="http://schemas.openxmlformats.org/officeDocument/2006/relationships/chart" Target="charts/chart64.xml"/><Relationship Id="rId8" Type="http://schemas.openxmlformats.org/officeDocument/2006/relationships/footer" Target="footer3.xml"/><Relationship Id="rId79" Type="http://schemas.openxmlformats.org/officeDocument/2006/relationships/chart" Target="charts/chart63.xml"/><Relationship Id="rId78" Type="http://schemas.openxmlformats.org/officeDocument/2006/relationships/chart" Target="charts/chart62.xml"/><Relationship Id="rId77" Type="http://schemas.openxmlformats.org/officeDocument/2006/relationships/chart" Target="charts/chart61.xml"/><Relationship Id="rId76" Type="http://schemas.openxmlformats.org/officeDocument/2006/relationships/chart" Target="charts/chart60.xml"/><Relationship Id="rId75" Type="http://schemas.openxmlformats.org/officeDocument/2006/relationships/chart" Target="charts/chart59.xml"/><Relationship Id="rId74" Type="http://schemas.openxmlformats.org/officeDocument/2006/relationships/chart" Target="charts/chart58.xml"/><Relationship Id="rId73" Type="http://schemas.openxmlformats.org/officeDocument/2006/relationships/chart" Target="charts/chart57.xml"/><Relationship Id="rId72" Type="http://schemas.openxmlformats.org/officeDocument/2006/relationships/chart" Target="charts/chart56.xml"/><Relationship Id="rId71" Type="http://schemas.openxmlformats.org/officeDocument/2006/relationships/chart" Target="charts/chart55.xml"/><Relationship Id="rId70" Type="http://schemas.openxmlformats.org/officeDocument/2006/relationships/chart" Target="charts/chart54.xml"/><Relationship Id="rId7" Type="http://schemas.openxmlformats.org/officeDocument/2006/relationships/footer" Target="footer2.xml"/><Relationship Id="rId69" Type="http://schemas.openxmlformats.org/officeDocument/2006/relationships/chart" Target="charts/chart53.xml"/><Relationship Id="rId68" Type="http://schemas.openxmlformats.org/officeDocument/2006/relationships/chart" Target="charts/chart52.xml"/><Relationship Id="rId67" Type="http://schemas.openxmlformats.org/officeDocument/2006/relationships/chart" Target="charts/chart51.xml"/><Relationship Id="rId66" Type="http://schemas.openxmlformats.org/officeDocument/2006/relationships/chart" Target="charts/chart50.xml"/><Relationship Id="rId65" Type="http://schemas.openxmlformats.org/officeDocument/2006/relationships/chart" Target="charts/chart49.xml"/><Relationship Id="rId64" Type="http://schemas.openxmlformats.org/officeDocument/2006/relationships/chart" Target="charts/chart48.xml"/><Relationship Id="rId63" Type="http://schemas.openxmlformats.org/officeDocument/2006/relationships/chart" Target="charts/chart47.xml"/><Relationship Id="rId62" Type="http://schemas.openxmlformats.org/officeDocument/2006/relationships/chart" Target="charts/chart46.xml"/><Relationship Id="rId61" Type="http://schemas.openxmlformats.org/officeDocument/2006/relationships/chart" Target="charts/chart45.xml"/><Relationship Id="rId60" Type="http://schemas.openxmlformats.org/officeDocument/2006/relationships/chart" Target="charts/chart44.xml"/><Relationship Id="rId6" Type="http://schemas.openxmlformats.org/officeDocument/2006/relationships/header" Target="header3.xml"/><Relationship Id="rId59" Type="http://schemas.openxmlformats.org/officeDocument/2006/relationships/chart" Target="charts/chart43.xml"/><Relationship Id="rId58" Type="http://schemas.openxmlformats.org/officeDocument/2006/relationships/chart" Target="charts/chart42.xml"/><Relationship Id="rId57" Type="http://schemas.openxmlformats.org/officeDocument/2006/relationships/chart" Target="charts/chart41.xml"/><Relationship Id="rId56" Type="http://schemas.openxmlformats.org/officeDocument/2006/relationships/chart" Target="charts/chart40.xml"/><Relationship Id="rId55" Type="http://schemas.openxmlformats.org/officeDocument/2006/relationships/chart" Target="charts/chart39.xml"/><Relationship Id="rId54" Type="http://schemas.openxmlformats.org/officeDocument/2006/relationships/chart" Target="charts/chart38.xml"/><Relationship Id="rId53" Type="http://schemas.openxmlformats.org/officeDocument/2006/relationships/chart" Target="charts/chart37.xml"/><Relationship Id="rId52" Type="http://schemas.openxmlformats.org/officeDocument/2006/relationships/chart" Target="charts/chart36.xml"/><Relationship Id="rId51" Type="http://schemas.openxmlformats.org/officeDocument/2006/relationships/chart" Target="charts/chart35.xml"/><Relationship Id="rId50" Type="http://schemas.openxmlformats.org/officeDocument/2006/relationships/chart" Target="charts/chart34.xml"/><Relationship Id="rId5" Type="http://schemas.openxmlformats.org/officeDocument/2006/relationships/footer" Target="footer1.xml"/><Relationship Id="rId49" Type="http://schemas.openxmlformats.org/officeDocument/2006/relationships/chart" Target="charts/chart33.xml"/><Relationship Id="rId48" Type="http://schemas.openxmlformats.org/officeDocument/2006/relationships/chart" Target="charts/chart32.xml"/><Relationship Id="rId47" Type="http://schemas.openxmlformats.org/officeDocument/2006/relationships/chart" Target="charts/chart31.xml"/><Relationship Id="rId46" Type="http://schemas.openxmlformats.org/officeDocument/2006/relationships/chart" Target="charts/chart30.xml"/><Relationship Id="rId45" Type="http://schemas.openxmlformats.org/officeDocument/2006/relationships/chart" Target="charts/chart29.xml"/><Relationship Id="rId44" Type="http://schemas.openxmlformats.org/officeDocument/2006/relationships/chart" Target="charts/chart28.xml"/><Relationship Id="rId43" Type="http://schemas.openxmlformats.org/officeDocument/2006/relationships/chart" Target="charts/chart27.xml"/><Relationship Id="rId42" Type="http://schemas.openxmlformats.org/officeDocument/2006/relationships/chart" Target="charts/chart26.xml"/><Relationship Id="rId41" Type="http://schemas.openxmlformats.org/officeDocument/2006/relationships/chart" Target="charts/chart25.xml"/><Relationship Id="rId40" Type="http://schemas.openxmlformats.org/officeDocument/2006/relationships/chart" Target="charts/chart24.xml"/><Relationship Id="rId4" Type="http://schemas.openxmlformats.org/officeDocument/2006/relationships/header" Target="header2.xml"/><Relationship Id="rId39" Type="http://schemas.openxmlformats.org/officeDocument/2006/relationships/chart" Target="charts/chart23.xml"/><Relationship Id="rId38" Type="http://schemas.openxmlformats.org/officeDocument/2006/relationships/chart" Target="charts/chart22.xml"/><Relationship Id="rId37" Type="http://schemas.openxmlformats.org/officeDocument/2006/relationships/chart" Target="charts/chart21.xml"/><Relationship Id="rId36" Type="http://schemas.openxmlformats.org/officeDocument/2006/relationships/chart" Target="charts/chart20.xml"/><Relationship Id="rId35" Type="http://schemas.openxmlformats.org/officeDocument/2006/relationships/chart" Target="charts/chart19.xml"/><Relationship Id="rId34" Type="http://schemas.openxmlformats.org/officeDocument/2006/relationships/chart" Target="charts/chart18.xml"/><Relationship Id="rId33" Type="http://schemas.openxmlformats.org/officeDocument/2006/relationships/chart" Target="charts/chart17.xml"/><Relationship Id="rId32" Type="http://schemas.openxmlformats.org/officeDocument/2006/relationships/chart" Target="charts/chart16.xml"/><Relationship Id="rId31" Type="http://schemas.openxmlformats.org/officeDocument/2006/relationships/chart" Target="charts/chart15.xml"/><Relationship Id="rId30" Type="http://schemas.openxmlformats.org/officeDocument/2006/relationships/chart" Target="charts/chart14.xml"/><Relationship Id="rId3" Type="http://schemas.openxmlformats.org/officeDocument/2006/relationships/header" Target="header1.xml"/><Relationship Id="rId29" Type="http://schemas.openxmlformats.org/officeDocument/2006/relationships/chart" Target="charts/chart13.xml"/><Relationship Id="rId28" Type="http://schemas.openxmlformats.org/officeDocument/2006/relationships/chart" Target="charts/chart12.xml"/><Relationship Id="rId27" Type="http://schemas.openxmlformats.org/officeDocument/2006/relationships/chart" Target="charts/chart11.xml"/><Relationship Id="rId26" Type="http://schemas.openxmlformats.org/officeDocument/2006/relationships/chart" Target="charts/chart10.xml"/><Relationship Id="rId25" Type="http://schemas.openxmlformats.org/officeDocument/2006/relationships/chart" Target="charts/chart9.xml"/><Relationship Id="rId24" Type="http://schemas.openxmlformats.org/officeDocument/2006/relationships/chart" Target="charts/chart8.xml"/><Relationship Id="rId23" Type="http://schemas.openxmlformats.org/officeDocument/2006/relationships/chart" Target="charts/chart7.xml"/><Relationship Id="rId22" Type="http://schemas.openxmlformats.org/officeDocument/2006/relationships/chart" Target="charts/chart6.xml"/><Relationship Id="rId21" Type="http://schemas.openxmlformats.org/officeDocument/2006/relationships/chart" Target="charts/chart5.xml"/><Relationship Id="rId20" Type="http://schemas.openxmlformats.org/officeDocument/2006/relationships/chart" Target="charts/chart4.xml"/><Relationship Id="rId2" Type="http://schemas.openxmlformats.org/officeDocument/2006/relationships/settings" Target="settings.xml"/><Relationship Id="rId19" Type="http://schemas.openxmlformats.org/officeDocument/2006/relationships/chart" Target="charts/chart3.xml"/><Relationship Id="rId18" Type="http://schemas.openxmlformats.org/officeDocument/2006/relationships/chart" Target="charts/chart2.xml"/><Relationship Id="rId17" Type="http://schemas.openxmlformats.org/officeDocument/2006/relationships/chart" Target="charts/chart1.xml"/><Relationship Id="rId16" Type="http://schemas.openxmlformats.org/officeDocument/2006/relationships/image" Target="media/image2.pn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6" Type="http://schemas.openxmlformats.org/officeDocument/2006/relationships/fontTable" Target="fontTable.xml"/><Relationship Id="rId105" Type="http://schemas.openxmlformats.org/officeDocument/2006/relationships/customXml" Target="../customXml/item3.xml"/><Relationship Id="rId104" Type="http://schemas.openxmlformats.org/officeDocument/2006/relationships/customXml" Target="../customXml/item2.xml"/><Relationship Id="rId103" Type="http://schemas.openxmlformats.org/officeDocument/2006/relationships/numbering" Target="numbering.xml"/><Relationship Id="rId102" Type="http://schemas.openxmlformats.org/officeDocument/2006/relationships/customXml" Target="../customXml/item1.xml"/><Relationship Id="rId101" Type="http://schemas.openxmlformats.org/officeDocument/2006/relationships/chart" Target="charts/chart85.xml"/><Relationship Id="rId100" Type="http://schemas.openxmlformats.org/officeDocument/2006/relationships/chart" Target="charts/chart84.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8385;&#24847;&#24230;&#35843;&#26597;&#25968;&#25454;(1)\&#28385;&#24847;&#24230;&#35843;&#26597;&#25968;&#25454;\&#28385;&#24847;&#24230;&#35843;&#26597;&#25968;&#25454;\&#37325;&#24198;&#20174;&#19994;&#20154;&#21592;.xlsx"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C:\Users\Administrator\Desktop\&#20174;&#19994;&#25968;&#25454;&#30475;&#36825;&#37324;\&#28385;&#24847;&#24230;&#35843;&#26597;&#25968;&#25454;\&#28385;&#24847;&#24230;&#35843;&#26597;&#25968;&#25454;\&#37325;&#24198;&#20174;&#19994;&#20154;&#21592;.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C:\Users\Administrator\Desktop\&#20174;&#19994;&#25968;&#25454;&#30475;&#36825;&#37324;\&#28385;&#24847;&#24230;&#35843;&#26597;&#25968;&#25454;\&#28385;&#24847;&#24230;&#35843;&#26597;&#25968;&#25454;\&#37325;&#24198;&#20174;&#19994;&#20154;&#21592;.xlsx"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C:\Users\Administrator\Desktop\&#20174;&#19994;&#25968;&#25454;&#30475;&#36825;&#37324;\&#28385;&#24847;&#24230;&#35843;&#26597;&#25968;&#25454;\&#28385;&#24847;&#24230;&#35843;&#26597;&#25968;&#25454;\&#37325;&#24198;&#20174;&#19994;&#20154;&#21592;.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file:///C:\Users\Administrator\Desktop\&#20174;&#19994;&#25968;&#25454;&#30475;&#36825;&#37324;\&#28385;&#24847;&#24230;&#35843;&#26597;&#25968;&#25454;\&#28385;&#24847;&#24230;&#35843;&#26597;&#25968;&#25454;\&#37325;&#24198;&#20174;&#19994;&#20154;&#21592;.xlsx" TargetMode="External"/></Relationships>
</file>

<file path=word/charts/_rels/chart14.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C:\Users\Administrator\Desktop\&#20174;&#19994;&#25968;&#25454;&#30475;&#36825;&#37324;\&#28385;&#24847;&#24230;&#35843;&#26597;&#25968;&#25454;\&#28385;&#24847;&#24230;&#35843;&#26597;&#25968;&#25454;\&#37325;&#24198;&#20174;&#19994;&#20154;&#21592;.xlsx"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21.xml"/><Relationship Id="rId2" Type="http://schemas.microsoft.com/office/2011/relationships/chartStyle" Target="style21.xml"/><Relationship Id="rId1" Type="http://schemas.openxmlformats.org/officeDocument/2006/relationships/oleObject" Target="file:///C:\Users\Administrator\Desktop\&#20174;&#19994;&#25968;&#25454;&#30475;&#36825;&#37324;\&#28385;&#24847;&#24230;&#35843;&#26597;&#25968;&#25454;\&#28385;&#24847;&#24230;&#35843;&#26597;&#25968;&#25454;\&#37325;&#24198;&#20174;&#19994;&#20154;&#21592;.xlsx" TargetMode="External"/></Relationships>
</file>

<file path=word/charts/_rels/chart16.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file:///C:\Users\Administrator\Desktop\&#20174;&#19994;&#25968;&#25454;&#30475;&#36825;&#37324;\&#28385;&#24847;&#24230;&#35843;&#26597;&#25968;&#25454;\&#28385;&#24847;&#24230;&#35843;&#26597;&#25968;&#25454;\&#37325;&#24198;&#20174;&#19994;&#20154;&#21592;.xlsx"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C:\Users\Administrator\Desktop\&#20174;&#19994;&#25968;&#25454;&#30475;&#36825;&#37324;\&#28385;&#24847;&#24230;&#35843;&#26597;&#25968;&#25454;\&#28385;&#24847;&#24230;&#35843;&#26597;&#25968;&#25454;\&#37325;&#24198;&#20174;&#19994;&#20154;&#21592;.xlsx" TargetMode="External"/></Relationships>
</file>

<file path=word/charts/_rels/chart18.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file:///C:\Users\Administrator\Desktop\&#20174;&#19994;&#25968;&#25454;&#30475;&#36825;&#37324;\&#28385;&#24847;&#24230;&#35843;&#26597;&#25968;&#25454;\&#28385;&#24847;&#24230;&#35843;&#26597;&#25968;&#25454;\&#37325;&#24198;&#20174;&#19994;&#20154;&#21592;.xlsx" TargetMode="External"/></Relationships>
</file>

<file path=word/charts/_rels/chart19.xml.rels><?xml version="1.0" encoding="UTF-8" standalone="yes"?>
<Relationships xmlns="http://schemas.openxmlformats.org/package/2006/relationships"><Relationship Id="rId3" Type="http://schemas.microsoft.com/office/2011/relationships/chartColorStyle" Target="colors19.xml"/><Relationship Id="rId2" Type="http://schemas.microsoft.com/office/2011/relationships/chartStyle" Target="style19.xml"/><Relationship Id="rId1" Type="http://schemas.openxmlformats.org/officeDocument/2006/relationships/oleObject" Target="file:///C:\Users\Administrator\Desktop\&#20174;&#19994;&#25968;&#25454;&#30475;&#36825;&#37324;\&#28385;&#24847;&#24230;&#35843;&#26597;&#25968;&#25454;\&#28385;&#24847;&#24230;&#35843;&#26597;&#25968;&#25454;\&#37325;&#24198;&#20174;&#19994;&#20154;&#21592;.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8385;&#24847;&#24230;&#35843;&#26597;&#25968;&#25454;(1)\&#28385;&#24847;&#24230;&#35843;&#26597;&#25968;&#25454;\&#28385;&#24847;&#24230;&#35843;&#26597;&#25968;&#25454;\&#37325;&#24198;&#20174;&#19994;&#20154;&#21592;.xlsx" TargetMode="External"/></Relationships>
</file>

<file path=word/charts/_rels/chart20.xml.rels><?xml version="1.0" encoding="UTF-8" standalone="yes"?>
<Relationships xmlns="http://schemas.openxmlformats.org/package/2006/relationships"><Relationship Id="rId3" Type="http://schemas.microsoft.com/office/2011/relationships/chartColorStyle" Target="colors25.xml"/><Relationship Id="rId2" Type="http://schemas.microsoft.com/office/2011/relationships/chartStyle" Target="style25.xml"/><Relationship Id="rId1" Type="http://schemas.openxmlformats.org/officeDocument/2006/relationships/oleObject" Target="file:///C:\Users\Administrator\Desktop\&#20174;&#19994;&#25968;&#25454;&#30475;&#36825;&#37324;\&#28385;&#24847;&#24230;&#35843;&#26597;&#25968;&#25454;\&#28385;&#24847;&#24230;&#35843;&#26597;&#25968;&#25454;\&#37325;&#24198;&#20174;&#19994;&#20154;&#21592;.xlsx" TargetMode="External"/></Relationships>
</file>

<file path=word/charts/_rels/chart21.xml.rels><?xml version="1.0" encoding="UTF-8" standalone="yes"?>
<Relationships xmlns="http://schemas.openxmlformats.org/package/2006/relationships"><Relationship Id="rId3" Type="http://schemas.microsoft.com/office/2011/relationships/chartColorStyle" Target="colors35.xml"/><Relationship Id="rId2" Type="http://schemas.microsoft.com/office/2011/relationships/chartStyle" Target="style35.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22.xml.rels><?xml version="1.0" encoding="UTF-8" standalone="yes"?>
<Relationships xmlns="http://schemas.openxmlformats.org/package/2006/relationships"><Relationship Id="rId3" Type="http://schemas.microsoft.com/office/2011/relationships/chartColorStyle" Target="colors26.xml"/><Relationship Id="rId2" Type="http://schemas.microsoft.com/office/2011/relationships/chartStyle" Target="style26.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23.xml.rels><?xml version="1.0" encoding="UTF-8" standalone="yes"?>
<Relationships xmlns="http://schemas.openxmlformats.org/package/2006/relationships"><Relationship Id="rId3" Type="http://schemas.microsoft.com/office/2011/relationships/chartColorStyle" Target="colors27.xml"/><Relationship Id="rId2" Type="http://schemas.microsoft.com/office/2011/relationships/chartStyle" Target="style27.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24.xml.rels><?xml version="1.0" encoding="UTF-8" standalone="yes"?>
<Relationships xmlns="http://schemas.openxmlformats.org/package/2006/relationships"><Relationship Id="rId3" Type="http://schemas.microsoft.com/office/2011/relationships/chartColorStyle" Target="colors28.xml"/><Relationship Id="rId2" Type="http://schemas.microsoft.com/office/2011/relationships/chartStyle" Target="style28.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25.xml.rels><?xml version="1.0" encoding="UTF-8" standalone="yes"?>
<Relationships xmlns="http://schemas.openxmlformats.org/package/2006/relationships"><Relationship Id="rId3" Type="http://schemas.microsoft.com/office/2011/relationships/chartColorStyle" Target="colors30.xml"/><Relationship Id="rId2" Type="http://schemas.microsoft.com/office/2011/relationships/chartStyle" Target="style30.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26.xml.rels><?xml version="1.0" encoding="UTF-8" standalone="yes"?>
<Relationships xmlns="http://schemas.openxmlformats.org/package/2006/relationships"><Relationship Id="rId3" Type="http://schemas.microsoft.com/office/2011/relationships/chartColorStyle" Target="colors29.xml"/><Relationship Id="rId2" Type="http://schemas.microsoft.com/office/2011/relationships/chartStyle" Target="style29.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27.xml.rels><?xml version="1.0" encoding="UTF-8" standalone="yes"?>
<Relationships xmlns="http://schemas.openxmlformats.org/package/2006/relationships"><Relationship Id="rId3" Type="http://schemas.microsoft.com/office/2011/relationships/chartColorStyle" Target="colors31.xml"/><Relationship Id="rId2" Type="http://schemas.microsoft.com/office/2011/relationships/chartStyle" Target="style31.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28.xml.rels><?xml version="1.0" encoding="UTF-8" standalone="yes"?>
<Relationships xmlns="http://schemas.openxmlformats.org/package/2006/relationships"><Relationship Id="rId3" Type="http://schemas.microsoft.com/office/2011/relationships/chartColorStyle" Target="colors32.xml"/><Relationship Id="rId2" Type="http://schemas.microsoft.com/office/2011/relationships/chartStyle" Target="style32.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0174;&#19994;&#25968;&#25454;&#30475;&#36825;&#37324;\&#28385;&#24847;&#24230;&#35843;&#26597;&#25968;&#25454;\&#28385;&#24847;&#24230;&#35843;&#26597;&#25968;&#25454;\&#37325;&#24198;&#20174;&#19994;&#20154;&#21592;.xlsx" TargetMode="External"/></Relationships>
</file>

<file path=word/charts/_rels/chart30.xml.rels><?xml version="1.0" encoding="UTF-8" standalone="yes"?>
<Relationships xmlns="http://schemas.openxmlformats.org/package/2006/relationships"><Relationship Id="rId3" Type="http://schemas.microsoft.com/office/2011/relationships/chartColorStyle" Target="colors24.xml"/><Relationship Id="rId2" Type="http://schemas.microsoft.com/office/2011/relationships/chartStyle" Target="style24.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31.xml.rels><?xml version="1.0" encoding="UTF-8" standalone="yes"?>
<Relationships xmlns="http://schemas.openxmlformats.org/package/2006/relationships"><Relationship Id="rId3" Type="http://schemas.microsoft.com/office/2011/relationships/chartColorStyle" Target="colors33.xml"/><Relationship Id="rId2" Type="http://schemas.microsoft.com/office/2011/relationships/chartStyle" Target="style33.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32.xml.rels><?xml version="1.0" encoding="UTF-8" standalone="yes"?>
<Relationships xmlns="http://schemas.openxmlformats.org/package/2006/relationships"><Relationship Id="rId3" Type="http://schemas.microsoft.com/office/2011/relationships/chartColorStyle" Target="colors20.xml"/><Relationship Id="rId2" Type="http://schemas.microsoft.com/office/2011/relationships/chartStyle" Target="style20.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33.xml.rels><?xml version="1.0" encoding="UTF-8" standalone="yes"?>
<Relationships xmlns="http://schemas.openxmlformats.org/package/2006/relationships"><Relationship Id="rId3" Type="http://schemas.microsoft.com/office/2011/relationships/chartColorStyle" Target="colors34.xml"/><Relationship Id="rId2" Type="http://schemas.microsoft.com/office/2011/relationships/chartStyle" Target="style34.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34.xml.rels><?xml version="1.0" encoding="UTF-8" standalone="yes"?>
<Relationships xmlns="http://schemas.openxmlformats.org/package/2006/relationships"><Relationship Id="rId3" Type="http://schemas.microsoft.com/office/2011/relationships/chartColorStyle" Target="colors22.xml"/><Relationship Id="rId2" Type="http://schemas.microsoft.com/office/2011/relationships/chartStyle" Target="style22.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35.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36.xml.rels><?xml version="1.0" encoding="UTF-8" standalone="yes"?>
<Relationships xmlns="http://schemas.openxmlformats.org/package/2006/relationships"><Relationship Id="rId3" Type="http://schemas.microsoft.com/office/2011/relationships/chartColorStyle" Target="colors36.xml"/><Relationship Id="rId2" Type="http://schemas.microsoft.com/office/2011/relationships/chartStyle" Target="style36.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37.xml.rels><?xml version="1.0" encoding="UTF-8" standalone="yes"?>
<Relationships xmlns="http://schemas.openxmlformats.org/package/2006/relationships"><Relationship Id="rId3" Type="http://schemas.microsoft.com/office/2011/relationships/chartColorStyle" Target="colors23.xml"/><Relationship Id="rId2" Type="http://schemas.microsoft.com/office/2011/relationships/chartStyle" Target="style23.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38.xml.rels><?xml version="1.0" encoding="UTF-8" standalone="yes"?>
<Relationships xmlns="http://schemas.openxmlformats.org/package/2006/relationships"><Relationship Id="rId3" Type="http://schemas.microsoft.com/office/2011/relationships/chartColorStyle" Target="colors48.xml"/><Relationship Id="rId2" Type="http://schemas.microsoft.com/office/2011/relationships/chartStyle" Target="style48.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39.xml.rels><?xml version="1.0" encoding="UTF-8" standalone="yes"?>
<Relationships xmlns="http://schemas.openxmlformats.org/package/2006/relationships"><Relationship Id="rId3" Type="http://schemas.microsoft.com/office/2011/relationships/chartColorStyle" Target="colors46.xml"/><Relationship Id="rId2" Type="http://schemas.microsoft.com/office/2011/relationships/chartStyle" Target="style46.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Administrator\Desktop\&#28385;&#24847;&#24230;&#35843;&#26597;&#25968;&#25454;(1)\&#28385;&#24847;&#24230;&#35843;&#26597;&#25968;&#25454;\&#28385;&#24847;&#24230;&#35843;&#26597;&#25968;&#25454;\&#37325;&#24198;&#20174;&#19994;&#20154;&#21592;.xlsx" TargetMode="External"/></Relationships>
</file>

<file path=word/charts/_rels/chart40.xml.rels><?xml version="1.0" encoding="UTF-8" standalone="yes"?>
<Relationships xmlns="http://schemas.openxmlformats.org/package/2006/relationships"><Relationship Id="rId3" Type="http://schemas.microsoft.com/office/2011/relationships/chartColorStyle" Target="colors40.xml"/><Relationship Id="rId2" Type="http://schemas.microsoft.com/office/2011/relationships/chartStyle" Target="style40.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1.xml.rels><?xml version="1.0" encoding="UTF-8" standalone="yes"?>
<Relationships xmlns="http://schemas.openxmlformats.org/package/2006/relationships"><Relationship Id="rId3" Type="http://schemas.microsoft.com/office/2011/relationships/chartColorStyle" Target="colors37.xml"/><Relationship Id="rId2" Type="http://schemas.microsoft.com/office/2011/relationships/chartStyle" Target="style37.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2.xml.rels><?xml version="1.0" encoding="UTF-8" standalone="yes"?>
<Relationships xmlns="http://schemas.openxmlformats.org/package/2006/relationships"><Relationship Id="rId3" Type="http://schemas.microsoft.com/office/2011/relationships/chartColorStyle" Target="colors51.xml"/><Relationship Id="rId2" Type="http://schemas.microsoft.com/office/2011/relationships/chartStyle" Target="style51.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3.xml.rels><?xml version="1.0" encoding="UTF-8" standalone="yes"?>
<Relationships xmlns="http://schemas.openxmlformats.org/package/2006/relationships"><Relationship Id="rId3" Type="http://schemas.microsoft.com/office/2011/relationships/chartColorStyle" Target="colors39.xml"/><Relationship Id="rId2" Type="http://schemas.microsoft.com/office/2011/relationships/chartStyle" Target="style39.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4.xml.rels><?xml version="1.0" encoding="UTF-8" standalone="yes"?>
<Relationships xmlns="http://schemas.openxmlformats.org/package/2006/relationships"><Relationship Id="rId3" Type="http://schemas.microsoft.com/office/2011/relationships/chartColorStyle" Target="colors38.xml"/><Relationship Id="rId2" Type="http://schemas.microsoft.com/office/2011/relationships/chartStyle" Target="style38.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6.xml.rels><?xml version="1.0" encoding="UTF-8" standalone="yes"?>
<Relationships xmlns="http://schemas.openxmlformats.org/package/2006/relationships"><Relationship Id="rId3" Type="http://schemas.microsoft.com/office/2011/relationships/chartColorStyle" Target="colors42.xml"/><Relationship Id="rId2" Type="http://schemas.microsoft.com/office/2011/relationships/chartStyle" Target="style42.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7.xml.rels><?xml version="1.0" encoding="UTF-8" standalone="yes"?>
<Relationships xmlns="http://schemas.openxmlformats.org/package/2006/relationships"><Relationship Id="rId3" Type="http://schemas.microsoft.com/office/2011/relationships/chartColorStyle" Target="colors44.xml"/><Relationship Id="rId2" Type="http://schemas.microsoft.com/office/2011/relationships/chartStyle" Target="style44.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8.xml.rels><?xml version="1.0" encoding="UTF-8" standalone="yes"?>
<Relationships xmlns="http://schemas.openxmlformats.org/package/2006/relationships"><Relationship Id="rId3" Type="http://schemas.microsoft.com/office/2011/relationships/chartColorStyle" Target="colors47.xml"/><Relationship Id="rId2" Type="http://schemas.microsoft.com/office/2011/relationships/chartStyle" Target="style47.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9.xml.rels><?xml version="1.0" encoding="UTF-8" standalone="yes"?>
<Relationships xmlns="http://schemas.openxmlformats.org/package/2006/relationships"><Relationship Id="rId3" Type="http://schemas.microsoft.com/office/2011/relationships/chartColorStyle" Target="colors43.xml"/><Relationship Id="rId2" Type="http://schemas.microsoft.com/office/2011/relationships/chartStyle" Target="style43.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0174;&#19994;&#25968;&#25454;&#30475;&#36825;&#37324;\&#28385;&#24847;&#24230;&#35843;&#26597;&#25968;&#25454;\&#28385;&#24847;&#24230;&#35843;&#26597;&#25968;&#25454;\&#37325;&#24198;&#20174;&#19994;&#20154;&#21592;.xlsx" TargetMode="External"/></Relationships>
</file>

<file path=word/charts/_rels/chart50.xml.rels><?xml version="1.0" encoding="UTF-8" standalone="yes"?>
<Relationships xmlns="http://schemas.openxmlformats.org/package/2006/relationships"><Relationship Id="rId3" Type="http://schemas.microsoft.com/office/2011/relationships/chartColorStyle" Target="colors41.xml"/><Relationship Id="rId2" Type="http://schemas.microsoft.com/office/2011/relationships/chartStyle" Target="style41.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1.xml.rels><?xml version="1.0" encoding="UTF-8" standalone="yes"?>
<Relationships xmlns="http://schemas.openxmlformats.org/package/2006/relationships"><Relationship Id="rId3" Type="http://schemas.microsoft.com/office/2011/relationships/chartColorStyle" Target="colors64.xml"/><Relationship Id="rId2" Type="http://schemas.microsoft.com/office/2011/relationships/chartStyle" Target="style64.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2.xml.rels><?xml version="1.0" encoding="UTF-8" standalone="yes"?>
<Relationships xmlns="http://schemas.openxmlformats.org/package/2006/relationships"><Relationship Id="rId3" Type="http://schemas.microsoft.com/office/2011/relationships/chartColorStyle" Target="colors57.xml"/><Relationship Id="rId2" Type="http://schemas.microsoft.com/office/2011/relationships/chartStyle" Target="style57.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3.xml.rels><?xml version="1.0" encoding="UTF-8" standalone="yes"?>
<Relationships xmlns="http://schemas.openxmlformats.org/package/2006/relationships"><Relationship Id="rId3" Type="http://schemas.microsoft.com/office/2011/relationships/chartColorStyle" Target="colors53.xml"/><Relationship Id="rId2" Type="http://schemas.microsoft.com/office/2011/relationships/chartStyle" Target="style53.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4.xml.rels><?xml version="1.0" encoding="UTF-8" standalone="yes"?>
<Relationships xmlns="http://schemas.openxmlformats.org/package/2006/relationships"><Relationship Id="rId3" Type="http://schemas.microsoft.com/office/2011/relationships/chartColorStyle" Target="colors60.xml"/><Relationship Id="rId2" Type="http://schemas.microsoft.com/office/2011/relationships/chartStyle" Target="style60.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5.xml.rels><?xml version="1.0" encoding="UTF-8" standalone="yes"?>
<Relationships xmlns="http://schemas.openxmlformats.org/package/2006/relationships"><Relationship Id="rId3" Type="http://schemas.microsoft.com/office/2011/relationships/chartColorStyle" Target="colors58.xml"/><Relationship Id="rId2" Type="http://schemas.microsoft.com/office/2011/relationships/chartStyle" Target="style58.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6.xml.rels><?xml version="1.0" encoding="UTF-8" standalone="yes"?>
<Relationships xmlns="http://schemas.openxmlformats.org/package/2006/relationships"><Relationship Id="rId3" Type="http://schemas.microsoft.com/office/2011/relationships/chartColorStyle" Target="colors52.xml"/><Relationship Id="rId2" Type="http://schemas.microsoft.com/office/2011/relationships/chartStyle" Target="style52.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7.xml.rels><?xml version="1.0" encoding="UTF-8" standalone="yes"?>
<Relationships xmlns="http://schemas.openxmlformats.org/package/2006/relationships"><Relationship Id="rId3" Type="http://schemas.microsoft.com/office/2011/relationships/chartColorStyle" Target="colors62.xml"/><Relationship Id="rId2" Type="http://schemas.microsoft.com/office/2011/relationships/chartStyle" Target="style62.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8.xml.rels><?xml version="1.0" encoding="UTF-8" standalone="yes"?>
<Relationships xmlns="http://schemas.openxmlformats.org/package/2006/relationships"><Relationship Id="rId3" Type="http://schemas.microsoft.com/office/2011/relationships/chartColorStyle" Target="colors65.xml"/><Relationship Id="rId2" Type="http://schemas.microsoft.com/office/2011/relationships/chartStyle" Target="style65.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9.xml.rels><?xml version="1.0" encoding="UTF-8" standalone="yes"?>
<Relationships xmlns="http://schemas.openxmlformats.org/package/2006/relationships"><Relationship Id="rId3" Type="http://schemas.microsoft.com/office/2011/relationships/chartColorStyle" Target="colors56.xml"/><Relationship Id="rId2" Type="http://schemas.microsoft.com/office/2011/relationships/chartStyle" Target="style56.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0174;&#19994;&#25968;&#25454;&#30475;&#36825;&#37324;\&#28385;&#24847;&#24230;&#35843;&#26597;&#25968;&#25454;\&#28385;&#24847;&#24230;&#35843;&#26597;&#25968;&#25454;\&#37325;&#24198;&#20174;&#19994;&#20154;&#21592;.xlsx" TargetMode="External"/></Relationships>
</file>

<file path=word/charts/_rels/chart60.xml.rels><?xml version="1.0" encoding="UTF-8" standalone="yes"?>
<Relationships xmlns="http://schemas.openxmlformats.org/package/2006/relationships"><Relationship Id="rId3" Type="http://schemas.microsoft.com/office/2011/relationships/chartColorStyle" Target="colors54.xml"/><Relationship Id="rId2" Type="http://schemas.microsoft.com/office/2011/relationships/chartStyle" Target="style54.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61.xml.rels><?xml version="1.0" encoding="UTF-8" standalone="yes"?>
<Relationships xmlns="http://schemas.openxmlformats.org/package/2006/relationships"><Relationship Id="rId3" Type="http://schemas.microsoft.com/office/2011/relationships/chartColorStyle" Target="colors59.xml"/><Relationship Id="rId2" Type="http://schemas.microsoft.com/office/2011/relationships/chartStyle" Target="style59.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62.xml.rels><?xml version="1.0" encoding="UTF-8" standalone="yes"?>
<Relationships xmlns="http://schemas.openxmlformats.org/package/2006/relationships"><Relationship Id="rId3" Type="http://schemas.microsoft.com/office/2011/relationships/chartColorStyle" Target="colors55.xml"/><Relationship Id="rId2" Type="http://schemas.microsoft.com/office/2011/relationships/chartStyle" Target="style55.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63.xml.rels><?xml version="1.0" encoding="UTF-8" standalone="yes"?>
<Relationships xmlns="http://schemas.openxmlformats.org/package/2006/relationships"><Relationship Id="rId3" Type="http://schemas.microsoft.com/office/2011/relationships/chartColorStyle" Target="colors61.xml"/><Relationship Id="rId2" Type="http://schemas.microsoft.com/office/2011/relationships/chartStyle" Target="style61.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64.xml.rels><?xml version="1.0" encoding="UTF-8" standalone="yes"?>
<Relationships xmlns="http://schemas.openxmlformats.org/package/2006/relationships"><Relationship Id="rId3" Type="http://schemas.microsoft.com/office/2011/relationships/chartColorStyle" Target="colors45.xml"/><Relationship Id="rId2" Type="http://schemas.microsoft.com/office/2011/relationships/chartStyle" Target="style45.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65.xml.rels><?xml version="1.0" encoding="UTF-8" standalone="yes"?>
<Relationships xmlns="http://schemas.openxmlformats.org/package/2006/relationships"><Relationship Id="rId3" Type="http://schemas.microsoft.com/office/2011/relationships/chartColorStyle" Target="colors63.xml"/><Relationship Id="rId2" Type="http://schemas.microsoft.com/office/2011/relationships/chartStyle" Target="style63.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66.xml.rels><?xml version="1.0" encoding="UTF-8" standalone="yes"?>
<Relationships xmlns="http://schemas.openxmlformats.org/package/2006/relationships"><Relationship Id="rId3" Type="http://schemas.microsoft.com/office/2011/relationships/chartColorStyle" Target="colors49.xml"/><Relationship Id="rId2" Type="http://schemas.microsoft.com/office/2011/relationships/chartStyle" Target="style49.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67.xml.rels><?xml version="1.0" encoding="UTF-8" standalone="yes"?>
<Relationships xmlns="http://schemas.openxmlformats.org/package/2006/relationships"><Relationship Id="rId3" Type="http://schemas.microsoft.com/office/2011/relationships/chartColorStyle" Target="colors50.xml"/><Relationship Id="rId2" Type="http://schemas.microsoft.com/office/2011/relationships/chartStyle" Target="style50.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68.xml.rels><?xml version="1.0" encoding="UTF-8" standalone="yes"?>
<Relationships xmlns="http://schemas.openxmlformats.org/package/2006/relationships"><Relationship Id="rId3" Type="http://schemas.microsoft.com/office/2011/relationships/chartColorStyle" Target="colors66.xml"/><Relationship Id="rId2" Type="http://schemas.microsoft.com/office/2011/relationships/chartStyle" Target="style66.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69.xml.rels><?xml version="1.0" encoding="UTF-8" standalone="yes"?>
<Relationships xmlns="http://schemas.openxmlformats.org/package/2006/relationships"><Relationship Id="rId3" Type="http://schemas.microsoft.com/office/2011/relationships/chartColorStyle" Target="colors67.xml"/><Relationship Id="rId2" Type="http://schemas.microsoft.com/office/2011/relationships/chartStyle" Target="style67.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esktop\&#28385;&#24847;&#24230;&#35843;&#26597;&#25968;&#25454;(1)\&#28385;&#24847;&#24230;&#35843;&#26597;&#25968;&#25454;\&#28385;&#24847;&#24230;&#35843;&#26597;&#25968;&#25454;\&#37325;&#24198;&#20174;&#19994;&#20154;&#21592;.xlsx" TargetMode="External"/></Relationships>
</file>

<file path=word/charts/_rels/chart70.xml.rels><?xml version="1.0" encoding="UTF-8" standalone="yes"?>
<Relationships xmlns="http://schemas.openxmlformats.org/package/2006/relationships"><Relationship Id="rId3" Type="http://schemas.microsoft.com/office/2011/relationships/chartColorStyle" Target="colors72.xml"/><Relationship Id="rId2" Type="http://schemas.microsoft.com/office/2011/relationships/chartStyle" Target="style72.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71.xml.rels><?xml version="1.0" encoding="UTF-8" standalone="yes"?>
<Relationships xmlns="http://schemas.openxmlformats.org/package/2006/relationships"><Relationship Id="rId3" Type="http://schemas.microsoft.com/office/2011/relationships/chartColorStyle" Target="colors73.xml"/><Relationship Id="rId2" Type="http://schemas.microsoft.com/office/2011/relationships/chartStyle" Target="style73.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72.xml.rels><?xml version="1.0" encoding="UTF-8" standalone="yes"?>
<Relationships xmlns="http://schemas.openxmlformats.org/package/2006/relationships"><Relationship Id="rId3" Type="http://schemas.microsoft.com/office/2011/relationships/chartColorStyle" Target="colors74.xml"/><Relationship Id="rId2" Type="http://schemas.microsoft.com/office/2011/relationships/chartStyle" Target="style74.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73.xml.rels><?xml version="1.0" encoding="UTF-8" standalone="yes"?>
<Relationships xmlns="http://schemas.openxmlformats.org/package/2006/relationships"><Relationship Id="rId3" Type="http://schemas.microsoft.com/office/2011/relationships/chartColorStyle" Target="colors75.xml"/><Relationship Id="rId2" Type="http://schemas.microsoft.com/office/2011/relationships/chartStyle" Target="style75.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74.xml.rels><?xml version="1.0" encoding="UTF-8" standalone="yes"?>
<Relationships xmlns="http://schemas.openxmlformats.org/package/2006/relationships"><Relationship Id="rId3" Type="http://schemas.microsoft.com/office/2011/relationships/chartColorStyle" Target="colors76.xml"/><Relationship Id="rId2" Type="http://schemas.microsoft.com/office/2011/relationships/chartStyle" Target="style76.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75.xml.rels><?xml version="1.0" encoding="UTF-8" standalone="yes"?>
<Relationships xmlns="http://schemas.openxmlformats.org/package/2006/relationships"><Relationship Id="rId3" Type="http://schemas.microsoft.com/office/2011/relationships/chartColorStyle" Target="colors81.xml"/><Relationship Id="rId2" Type="http://schemas.microsoft.com/office/2011/relationships/chartStyle" Target="style81.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76.xml.rels><?xml version="1.0" encoding="UTF-8" standalone="yes"?>
<Relationships xmlns="http://schemas.openxmlformats.org/package/2006/relationships"><Relationship Id="rId3" Type="http://schemas.microsoft.com/office/2011/relationships/chartColorStyle" Target="colors77.xml"/><Relationship Id="rId2" Type="http://schemas.microsoft.com/office/2011/relationships/chartStyle" Target="style77.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77.xml.rels><?xml version="1.0" encoding="UTF-8" standalone="yes"?>
<Relationships xmlns="http://schemas.openxmlformats.org/package/2006/relationships"><Relationship Id="rId3" Type="http://schemas.microsoft.com/office/2011/relationships/chartColorStyle" Target="colors80.xml"/><Relationship Id="rId2" Type="http://schemas.microsoft.com/office/2011/relationships/chartStyle" Target="style80.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78.xml.rels><?xml version="1.0" encoding="UTF-8" standalone="yes"?>
<Relationships xmlns="http://schemas.openxmlformats.org/package/2006/relationships"><Relationship Id="rId3" Type="http://schemas.microsoft.com/office/2011/relationships/chartColorStyle" Target="colors71.xml"/><Relationship Id="rId2" Type="http://schemas.microsoft.com/office/2011/relationships/chartStyle" Target="style71.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79.xml.rels><?xml version="1.0" encoding="UTF-8" standalone="yes"?>
<Relationships xmlns="http://schemas.openxmlformats.org/package/2006/relationships"><Relationship Id="rId3" Type="http://schemas.microsoft.com/office/2011/relationships/chartColorStyle" Target="colors82.xml"/><Relationship Id="rId2" Type="http://schemas.microsoft.com/office/2011/relationships/chartStyle" Target="style82.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0174;&#19994;&#25968;&#25454;&#30475;&#36825;&#37324;\&#28385;&#24847;&#24230;&#35843;&#26597;&#25968;&#25454;\&#28385;&#24847;&#24230;&#35843;&#26597;&#25968;&#25454;\&#37325;&#24198;&#20174;&#19994;&#20154;&#21592;.xlsx" TargetMode="External"/></Relationships>
</file>

<file path=word/charts/_rels/chart80.xml.rels><?xml version="1.0" encoding="UTF-8" standalone="yes"?>
<Relationships xmlns="http://schemas.openxmlformats.org/package/2006/relationships"><Relationship Id="rId3" Type="http://schemas.microsoft.com/office/2011/relationships/chartColorStyle" Target="colors78.xml"/><Relationship Id="rId2" Type="http://schemas.microsoft.com/office/2011/relationships/chartStyle" Target="style78.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1.xml.rels><?xml version="1.0" encoding="UTF-8" standalone="yes"?>
<Relationships xmlns="http://schemas.openxmlformats.org/package/2006/relationships"><Relationship Id="rId3" Type="http://schemas.microsoft.com/office/2011/relationships/chartColorStyle" Target="colors83.xml"/><Relationship Id="rId2" Type="http://schemas.microsoft.com/office/2011/relationships/chartStyle" Target="style83.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2.xml.rels><?xml version="1.0" encoding="UTF-8" standalone="yes"?>
<Relationships xmlns="http://schemas.openxmlformats.org/package/2006/relationships"><Relationship Id="rId3" Type="http://schemas.microsoft.com/office/2011/relationships/chartColorStyle" Target="colors79.xml"/><Relationship Id="rId2" Type="http://schemas.microsoft.com/office/2011/relationships/chartStyle" Target="style79.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3.xml.rels><?xml version="1.0" encoding="UTF-8" standalone="yes"?>
<Relationships xmlns="http://schemas.openxmlformats.org/package/2006/relationships"><Relationship Id="rId3" Type="http://schemas.microsoft.com/office/2011/relationships/chartColorStyle" Target="colors69.xml"/><Relationship Id="rId2" Type="http://schemas.microsoft.com/office/2011/relationships/chartStyle" Target="style69.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4.xml.rels><?xml version="1.0" encoding="UTF-8" standalone="yes"?>
<Relationships xmlns="http://schemas.openxmlformats.org/package/2006/relationships"><Relationship Id="rId3" Type="http://schemas.microsoft.com/office/2011/relationships/chartColorStyle" Target="colors68.xml"/><Relationship Id="rId2" Type="http://schemas.microsoft.com/office/2011/relationships/chartStyle" Target="style68.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5.xml.rels><?xml version="1.0" encoding="UTF-8" standalone="yes"?>
<Relationships xmlns="http://schemas.openxmlformats.org/package/2006/relationships"><Relationship Id="rId3" Type="http://schemas.microsoft.com/office/2011/relationships/chartColorStyle" Target="colors70.xml"/><Relationship Id="rId2" Type="http://schemas.microsoft.com/office/2011/relationships/chartStyle" Target="style70.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Administrator\Desktop\&#28385;&#24847;&#24230;&#35843;&#26597;&#25968;&#25454;(1)\&#28385;&#24847;&#24230;&#35843;&#26597;&#25968;&#25454;\&#28385;&#24847;&#24230;&#35843;&#26597;&#25968;&#25454;\&#37325;&#24198;&#20174;&#19994;&#20154;&#2159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网民性别分布图</a:t>
            </a:r>
            <a:endParaRPr lang="zh-CN" altLang="en-US" b="1"/>
          </a:p>
        </c:rich>
      </c:tx>
      <c:layout/>
      <c:overlay val="0"/>
      <c:spPr>
        <a:noFill/>
        <a:ln>
          <a:noFill/>
        </a:ln>
        <a:effectLst/>
      </c:spPr>
    </c:title>
    <c:autoTitleDeleted val="0"/>
    <c:plotArea>
      <c:layout/>
      <c:pieChart>
        <c:varyColors val="1"/>
        <c:ser>
          <c:idx val="0"/>
          <c:order val="0"/>
          <c:tx>
            <c:strRef>
              <c:f>[重庆从业人员.xlsx]主问卷!$C$4</c:f>
              <c:strCache>
                <c:ptCount val="1"/>
                <c:pt idx="0">
                  <c:v>重庆数</c:v>
                </c:pt>
              </c:strCache>
            </c:strRef>
          </c:tx>
          <c:spPr/>
          <c:explosion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[重庆从业人员.xlsx]主问卷!$B$5:$B$6</c:f>
              <c:strCache>
                <c:ptCount val="2"/>
                <c:pt idx="0">
                  <c:v>男</c:v>
                </c:pt>
                <c:pt idx="1">
                  <c:v>女</c:v>
                </c:pt>
              </c:strCache>
            </c:strRef>
          </c:cat>
          <c:val>
            <c:numRef>
              <c:f>[重庆从业人员.xlsx]主问卷!$C$5:$C$6</c:f>
            </c:numRef>
          </c:val>
        </c:ser>
        <c:ser>
          <c:idx val="1"/>
          <c:order val="1"/>
          <c:tx>
            <c:strRef>
              <c:f>[重庆从业人员.xlsx]主问卷!$D$4</c:f>
              <c:strCache>
                <c:ptCount val="1"/>
                <c:pt idx="0">
                  <c:v>重庆占比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156176823900147"/>
                  <c:y val="-0.0949694084447975"/>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lang="zh-CN" altLang="en-US"/>
                      <a:t>男</a:t>
                    </a:r>
                    <a:endParaRPr lang="zh-CN" altLang="en-US"/>
                  </a:p>
                  <a:p>
                    <a:pPr>
                      <a:defRPr lang="zh-CN" sz="1100" b="1" i="0" u="none" strike="noStrike" kern="1200" baseline="0">
                        <a:solidFill>
                          <a:schemeClr val="tx1">
                            <a:lumMod val="75000"/>
                            <a:lumOff val="25000"/>
                          </a:schemeClr>
                        </a:solidFill>
                        <a:latin typeface="+mn-lt"/>
                        <a:ea typeface="+mn-ea"/>
                        <a:cs typeface="+mn-cs"/>
                      </a:defRPr>
                    </a:pPr>
                    <a:r>
                      <a:rPr lang="en-US" altLang="zh-CN"/>
                      <a:t>59.25%</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43797052797867"/>
                  <c:y val="0.0741671509070845"/>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lang="zh-CN" altLang="en-US"/>
                      <a:t>女</a:t>
                    </a:r>
                    <a:endParaRPr lang="zh-CN" altLang="en-US"/>
                  </a:p>
                  <a:p>
                    <a:pPr>
                      <a:defRPr lang="zh-CN" sz="1100" b="1" i="0" u="none" strike="noStrike" kern="1200" baseline="0">
                        <a:solidFill>
                          <a:schemeClr val="tx1">
                            <a:lumMod val="75000"/>
                            <a:lumOff val="25000"/>
                          </a:schemeClr>
                        </a:solidFill>
                        <a:latin typeface="+mn-lt"/>
                        <a:ea typeface="+mn-ea"/>
                        <a:cs typeface="+mn-cs"/>
                      </a:defRPr>
                    </a:pPr>
                    <a:r>
                      <a:rPr lang="en-US" altLang="zh-CN"/>
                      <a:t>40.75%</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[重庆从业人员.xlsx]主问卷!$B$5:$B$6</c:f>
              <c:strCache>
                <c:ptCount val="2"/>
                <c:pt idx="0">
                  <c:v>男</c:v>
                </c:pt>
                <c:pt idx="1">
                  <c:v>女</c:v>
                </c:pt>
              </c:strCache>
            </c:strRef>
          </c:cat>
          <c:val>
            <c:numRef>
              <c:f>[重庆从业人员.xlsx]主问卷!$D$5:$D$6</c:f>
              <c:numCache>
                <c:formatCode>0.00%</c:formatCode>
                <c:ptCount val="2"/>
                <c:pt idx="0">
                  <c:v>0.5925</c:v>
                </c:pt>
                <c:pt idx="1">
                  <c:v>0.4075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zh-CN" altLang="en-US" b="1"/>
              <a:t>在工作中最常面对的网络安全威胁遇到率图</a:t>
            </a:r>
            <a:endParaRPr lang="zh-CN" altLang="en-US" b="1"/>
          </a:p>
        </c:rich>
      </c:tx>
      <c:layout/>
      <c:overlay val="0"/>
      <c:spPr>
        <a:noFill/>
        <a:ln>
          <a:noFill/>
        </a:ln>
        <a:effectLst/>
      </c:spPr>
    </c:title>
    <c:autoTitleDeleted val="0"/>
    <c:plotArea>
      <c:layout/>
      <c:barChart>
        <c:barDir val="bar"/>
        <c:grouping val="clustered"/>
        <c:varyColors val="0"/>
        <c:ser>
          <c:idx val="0"/>
          <c:order val="0"/>
          <c:tx>
            <c:strRef>
              <c:f>[重庆从业人员.xlsx]主问卷!$C$71</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[重庆从业人员.xlsx]主问卷!$B$72:$B$77</c:f>
              <c:strCache>
                <c:ptCount val="6"/>
                <c:pt idx="0">
                  <c:v>其他</c:v>
                </c:pt>
                <c:pt idx="1">
                  <c:v>不清楚</c:v>
                </c:pt>
                <c:pt idx="2">
                  <c:v>安全事件</c:v>
                </c:pt>
                <c:pt idx="3">
                  <c:v>恶意程序</c:v>
                </c:pt>
                <c:pt idx="4">
                  <c:v>安全隐患</c:v>
                </c:pt>
                <c:pt idx="5">
                  <c:v>恶意网络资源</c:v>
                </c:pt>
              </c:strCache>
            </c:strRef>
          </c:cat>
          <c:val>
            <c:numRef>
              <c:f>[重庆从业人员.xlsx]主问卷!$C$72:$C$77</c:f>
            </c:numRef>
          </c:val>
        </c:ser>
        <c:ser>
          <c:idx val="1"/>
          <c:order val="1"/>
          <c:tx>
            <c:strRef>
              <c:f>[重庆从业人员.xlsx]主问卷!$D$71</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[重庆从业人员.xlsx]主问卷!$B$72:$B$77</c:f>
              <c:strCache>
                <c:ptCount val="6"/>
                <c:pt idx="0">
                  <c:v>其他</c:v>
                </c:pt>
                <c:pt idx="1">
                  <c:v>不清楚</c:v>
                </c:pt>
                <c:pt idx="2">
                  <c:v>安全事件</c:v>
                </c:pt>
                <c:pt idx="3">
                  <c:v>恶意程序</c:v>
                </c:pt>
                <c:pt idx="4">
                  <c:v>安全隐患</c:v>
                </c:pt>
                <c:pt idx="5">
                  <c:v>恶意网络资源</c:v>
                </c:pt>
              </c:strCache>
            </c:strRef>
          </c:cat>
          <c:val>
            <c:numRef>
              <c:f>[重庆从业人员.xlsx]主问卷!$D$72:$D$77</c:f>
              <c:numCache>
                <c:formatCode>0.00%</c:formatCode>
                <c:ptCount val="6"/>
                <c:pt idx="0">
                  <c:v>0.086</c:v>
                </c:pt>
                <c:pt idx="1">
                  <c:v>0.1186</c:v>
                </c:pt>
                <c:pt idx="2">
                  <c:v>0.4376</c:v>
                </c:pt>
                <c:pt idx="3">
                  <c:v>0.4511</c:v>
                </c:pt>
                <c:pt idx="4">
                  <c:v>0.4622</c:v>
                </c:pt>
                <c:pt idx="5">
                  <c:v>0.5163</c:v>
                </c:pt>
              </c:numCache>
            </c:numRef>
          </c:val>
        </c:ser>
        <c:ser>
          <c:idx val="2"/>
          <c:order val="2"/>
          <c:tx>
            <c:strRef>
              <c:f>[重庆从业人员.xlsx]主问卷!$E$71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[重庆从业人员.xlsx]主问卷!$B$72:$B$77</c:f>
              <c:strCache>
                <c:ptCount val="6"/>
                <c:pt idx="0">
                  <c:v>其他</c:v>
                </c:pt>
                <c:pt idx="1">
                  <c:v>不清楚</c:v>
                </c:pt>
                <c:pt idx="2">
                  <c:v>安全事件</c:v>
                </c:pt>
                <c:pt idx="3">
                  <c:v>恶意程序</c:v>
                </c:pt>
                <c:pt idx="4">
                  <c:v>安全隐患</c:v>
                </c:pt>
                <c:pt idx="5">
                  <c:v>恶意网络资源</c:v>
                </c:pt>
              </c:strCache>
            </c:strRef>
          </c:cat>
          <c:val>
            <c:numRef>
              <c:f>[重庆从业人员.xlsx]主问卷!$E$72:$E$77</c:f>
            </c:numRef>
          </c:val>
        </c:ser>
        <c:ser>
          <c:idx val="3"/>
          <c:order val="3"/>
          <c:tx>
            <c:strRef>
              <c:f>[重庆从业人员.xlsx]主问卷!$F$71</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[重庆从业人员.xlsx]主问卷!$B$72:$B$77</c:f>
              <c:strCache>
                <c:ptCount val="6"/>
                <c:pt idx="0">
                  <c:v>其他</c:v>
                </c:pt>
                <c:pt idx="1">
                  <c:v>不清楚</c:v>
                </c:pt>
                <c:pt idx="2">
                  <c:v>安全事件</c:v>
                </c:pt>
                <c:pt idx="3">
                  <c:v>恶意程序</c:v>
                </c:pt>
                <c:pt idx="4">
                  <c:v>安全隐患</c:v>
                </c:pt>
                <c:pt idx="5">
                  <c:v>恶意网络资源</c:v>
                </c:pt>
              </c:strCache>
            </c:strRef>
          </c:cat>
          <c:val>
            <c:numRef>
              <c:f>[重庆从业人员.xlsx]主问卷!$F$72:$F$77</c:f>
              <c:numCache>
                <c:formatCode>0.00%</c:formatCode>
                <c:ptCount val="6"/>
                <c:pt idx="0">
                  <c:v>0.1014</c:v>
                </c:pt>
                <c:pt idx="1">
                  <c:v>0.1729</c:v>
                </c:pt>
                <c:pt idx="2">
                  <c:v>0.3882</c:v>
                </c:pt>
                <c:pt idx="3">
                  <c:v>0.4148</c:v>
                </c:pt>
                <c:pt idx="4">
                  <c:v>0.4342</c:v>
                </c:pt>
                <c:pt idx="5">
                  <c:v>0.3971</c:v>
                </c:pt>
              </c:numCache>
            </c:numRef>
          </c:val>
        </c:ser>
        <c:dLbls>
          <c:showLegendKey val="0"/>
          <c:showVal val="1"/>
          <c:showCatName val="0"/>
          <c:showSerName val="0"/>
          <c:showPercent val="0"/>
          <c:showBubbleSize val="0"/>
        </c:dLbls>
        <c:gapWidth val="182"/>
        <c:axId val="846138858"/>
        <c:axId val="390128456"/>
      </c:barChart>
      <c:catAx>
        <c:axId val="84613885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0128456"/>
        <c:crosses val="autoZero"/>
        <c:auto val="1"/>
        <c:lblAlgn val="ctr"/>
        <c:lblOffset val="100"/>
        <c:noMultiLvlLbl val="0"/>
      </c:catAx>
      <c:valAx>
        <c:axId val="3901284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613885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zh-CN" altLang="en-US" b="1"/>
              <a:t>网民遇到的违法有害信息</a:t>
            </a:r>
            <a:endParaRPr lang="zh-CN" altLang="en-US" b="1"/>
          </a:p>
        </c:rich>
      </c:tx>
      <c:layout/>
      <c:overlay val="0"/>
      <c:spPr>
        <a:noFill/>
        <a:ln>
          <a:noFill/>
        </a:ln>
        <a:effectLst/>
      </c:spPr>
    </c:title>
    <c:autoTitleDeleted val="0"/>
    <c:plotArea>
      <c:layout/>
      <c:barChart>
        <c:barDir val="bar"/>
        <c:grouping val="clustered"/>
        <c:varyColors val="0"/>
        <c:ser>
          <c:idx val="0"/>
          <c:order val="0"/>
          <c:tx>
            <c:strRef>
              <c:f>[重庆从业人员.xlsx]主问卷!$C$81</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[重庆从业人员.xlsx]主问卷!$B$82:$B$92</c:f>
              <c:strCache>
                <c:ptCount val="11"/>
                <c:pt idx="0">
                  <c:v>其他</c:v>
                </c:pt>
                <c:pt idx="1">
                  <c:v>物理环境影响</c:v>
                </c:pt>
                <c:pt idx="2">
                  <c:v>软硬件故障</c:v>
                </c:pt>
                <c:pt idx="3">
                  <c:v>管理层缺乏安全意识</c:v>
                </c:pt>
                <c:pt idx="4">
                  <c:v>缺少对突发事件的对策和计划</c:v>
                </c:pt>
                <c:pt idx="5">
                  <c:v>员工缺乏安全培训</c:v>
                </c:pt>
                <c:pt idx="6">
                  <c:v>内部威胁</c:v>
                </c:pt>
                <c:pt idx="7">
                  <c:v>对第三方与供应商管理不到位</c:v>
                </c:pt>
                <c:pt idx="8">
                  <c:v>网络安全人才和资金投入不足</c:v>
                </c:pt>
                <c:pt idx="9">
                  <c:v>缺少管理和风险评估机制</c:v>
                </c:pt>
                <c:pt idx="10">
                  <c:v>攻击威胁</c:v>
                </c:pt>
              </c:strCache>
            </c:strRef>
          </c:cat>
          <c:val>
            <c:numRef>
              <c:f>[重庆从业人员.xlsx]主问卷!$C$82:$C$92</c:f>
            </c:numRef>
          </c:val>
        </c:ser>
        <c:ser>
          <c:idx val="1"/>
          <c:order val="1"/>
          <c:tx>
            <c:strRef>
              <c:f>[重庆从业人员.xlsx]主问卷!$D$81</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[重庆从业人员.xlsx]主问卷!$B$82:$B$92</c:f>
              <c:strCache>
                <c:ptCount val="11"/>
                <c:pt idx="0">
                  <c:v>其他</c:v>
                </c:pt>
                <c:pt idx="1">
                  <c:v>物理环境影响</c:v>
                </c:pt>
                <c:pt idx="2">
                  <c:v>软硬件故障</c:v>
                </c:pt>
                <c:pt idx="3">
                  <c:v>管理层缺乏安全意识</c:v>
                </c:pt>
                <c:pt idx="4">
                  <c:v>缺少对突发事件的对策和计划</c:v>
                </c:pt>
                <c:pt idx="5">
                  <c:v>员工缺乏安全培训</c:v>
                </c:pt>
                <c:pt idx="6">
                  <c:v>内部威胁</c:v>
                </c:pt>
                <c:pt idx="7">
                  <c:v>对第三方与供应商管理不到位</c:v>
                </c:pt>
                <c:pt idx="8">
                  <c:v>网络安全人才和资金投入不足</c:v>
                </c:pt>
                <c:pt idx="9">
                  <c:v>缺少管理和风险评估机制</c:v>
                </c:pt>
                <c:pt idx="10">
                  <c:v>攻击威胁</c:v>
                </c:pt>
              </c:strCache>
            </c:strRef>
          </c:cat>
          <c:val>
            <c:numRef>
              <c:f>[重庆从业人员.xlsx]主问卷!$D$82:$D$92</c:f>
              <c:numCache>
                <c:formatCode>0.00%</c:formatCode>
                <c:ptCount val="11"/>
                <c:pt idx="0">
                  <c:v>0.0553</c:v>
                </c:pt>
                <c:pt idx="1">
                  <c:v>0.1457</c:v>
                </c:pt>
                <c:pt idx="2">
                  <c:v>0.2176</c:v>
                </c:pt>
                <c:pt idx="3">
                  <c:v>0.2612</c:v>
                </c:pt>
                <c:pt idx="4">
                  <c:v>0.2956</c:v>
                </c:pt>
                <c:pt idx="5">
                  <c:v>0.2999</c:v>
                </c:pt>
                <c:pt idx="6">
                  <c:v>0.3024</c:v>
                </c:pt>
                <c:pt idx="7">
                  <c:v>0.3553</c:v>
                </c:pt>
                <c:pt idx="8">
                  <c:v>0.4057</c:v>
                </c:pt>
                <c:pt idx="9">
                  <c:v>0.5071</c:v>
                </c:pt>
                <c:pt idx="10">
                  <c:v>0.5224</c:v>
                </c:pt>
              </c:numCache>
            </c:numRef>
          </c:val>
        </c:ser>
        <c:ser>
          <c:idx val="2"/>
          <c:order val="2"/>
          <c:tx>
            <c:strRef>
              <c:f>[重庆从业人员.xlsx]主问卷!$E$81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[重庆从业人员.xlsx]主问卷!$B$82:$B$92</c:f>
              <c:strCache>
                <c:ptCount val="11"/>
                <c:pt idx="0">
                  <c:v>其他</c:v>
                </c:pt>
                <c:pt idx="1">
                  <c:v>物理环境影响</c:v>
                </c:pt>
                <c:pt idx="2">
                  <c:v>软硬件故障</c:v>
                </c:pt>
                <c:pt idx="3">
                  <c:v>管理层缺乏安全意识</c:v>
                </c:pt>
                <c:pt idx="4">
                  <c:v>缺少对突发事件的对策和计划</c:v>
                </c:pt>
                <c:pt idx="5">
                  <c:v>员工缺乏安全培训</c:v>
                </c:pt>
                <c:pt idx="6">
                  <c:v>内部威胁</c:v>
                </c:pt>
                <c:pt idx="7">
                  <c:v>对第三方与供应商管理不到位</c:v>
                </c:pt>
                <c:pt idx="8">
                  <c:v>网络安全人才和资金投入不足</c:v>
                </c:pt>
                <c:pt idx="9">
                  <c:v>缺少管理和风险评估机制</c:v>
                </c:pt>
                <c:pt idx="10">
                  <c:v>攻击威胁</c:v>
                </c:pt>
              </c:strCache>
            </c:strRef>
          </c:cat>
          <c:val>
            <c:numRef>
              <c:f>[重庆从业人员.xlsx]主问卷!$E$82:$E$92</c:f>
            </c:numRef>
          </c:val>
        </c:ser>
        <c:ser>
          <c:idx val="3"/>
          <c:order val="3"/>
          <c:tx>
            <c:strRef>
              <c:f>[重庆从业人员.xlsx]主问卷!$F$81</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[重庆从业人员.xlsx]主问卷!$B$82:$B$92</c:f>
              <c:strCache>
                <c:ptCount val="11"/>
                <c:pt idx="0">
                  <c:v>其他</c:v>
                </c:pt>
                <c:pt idx="1">
                  <c:v>物理环境影响</c:v>
                </c:pt>
                <c:pt idx="2">
                  <c:v>软硬件故障</c:v>
                </c:pt>
                <c:pt idx="3">
                  <c:v>管理层缺乏安全意识</c:v>
                </c:pt>
                <c:pt idx="4">
                  <c:v>缺少对突发事件的对策和计划</c:v>
                </c:pt>
                <c:pt idx="5">
                  <c:v>员工缺乏安全培训</c:v>
                </c:pt>
                <c:pt idx="6">
                  <c:v>内部威胁</c:v>
                </c:pt>
                <c:pt idx="7">
                  <c:v>对第三方与供应商管理不到位</c:v>
                </c:pt>
                <c:pt idx="8">
                  <c:v>网络安全人才和资金投入不足</c:v>
                </c:pt>
                <c:pt idx="9">
                  <c:v>缺少管理和风险评估机制</c:v>
                </c:pt>
                <c:pt idx="10">
                  <c:v>攻击威胁</c:v>
                </c:pt>
              </c:strCache>
            </c:strRef>
          </c:cat>
          <c:val>
            <c:numRef>
              <c:f>[重庆从业人员.xlsx]主问卷!$F$82:$F$92</c:f>
              <c:numCache>
                <c:formatCode>0.00%</c:formatCode>
                <c:ptCount val="11"/>
                <c:pt idx="0">
                  <c:v>0.1138</c:v>
                </c:pt>
                <c:pt idx="1">
                  <c:v>0.1217</c:v>
                </c:pt>
                <c:pt idx="2">
                  <c:v>0.2099</c:v>
                </c:pt>
                <c:pt idx="3">
                  <c:v>0.2371</c:v>
                </c:pt>
                <c:pt idx="4">
                  <c:v>0.2419</c:v>
                </c:pt>
                <c:pt idx="5">
                  <c:v>0.337</c:v>
                </c:pt>
                <c:pt idx="6">
                  <c:v>0.2656</c:v>
                </c:pt>
                <c:pt idx="7">
                  <c:v>0.3494</c:v>
                </c:pt>
                <c:pt idx="8">
                  <c:v>0.3096</c:v>
                </c:pt>
                <c:pt idx="9">
                  <c:v>0.4877</c:v>
                </c:pt>
                <c:pt idx="10">
                  <c:v>0.3869</c:v>
                </c:pt>
              </c:numCache>
            </c:numRef>
          </c:val>
        </c:ser>
        <c:dLbls>
          <c:showLegendKey val="0"/>
          <c:showVal val="1"/>
          <c:showCatName val="0"/>
          <c:showSerName val="0"/>
          <c:showPercent val="0"/>
          <c:showBubbleSize val="0"/>
        </c:dLbls>
        <c:gapWidth val="182"/>
        <c:axId val="168705820"/>
        <c:axId val="79385093"/>
      </c:barChart>
      <c:catAx>
        <c:axId val="16870582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385093"/>
        <c:crosses val="autoZero"/>
        <c:auto val="1"/>
        <c:lblAlgn val="ctr"/>
        <c:lblOffset val="100"/>
        <c:noMultiLvlLbl val="0"/>
      </c:catAx>
      <c:valAx>
        <c:axId val="7938509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87058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zh-CN" altLang="en-US" b="1"/>
              <a:t>互联网黑灰产业活跃情况评价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[重庆从业人员.xlsx]主问卷!$C$96</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[重庆从业人员.xlsx]主问卷!$B$97:$B$102</c:f>
              <c:strCache>
                <c:ptCount val="6"/>
                <c:pt idx="0">
                  <c:v>明显增加</c:v>
                </c:pt>
                <c:pt idx="1">
                  <c:v>略有增加</c:v>
                </c:pt>
                <c:pt idx="2">
                  <c:v>没有变化</c:v>
                </c:pt>
                <c:pt idx="3">
                  <c:v>略有减少</c:v>
                </c:pt>
                <c:pt idx="4">
                  <c:v>明显减少</c:v>
                </c:pt>
                <c:pt idx="5">
                  <c:v>不了解</c:v>
                </c:pt>
              </c:strCache>
            </c:strRef>
          </c:cat>
          <c:val>
            <c:numRef>
              <c:f>[重庆从业人员.xlsx]主问卷!$C$97:$C$102</c:f>
            </c:numRef>
          </c:val>
        </c:ser>
        <c:ser>
          <c:idx val="1"/>
          <c:order val="1"/>
          <c:tx>
            <c:strRef>
              <c:f>[重庆从业人员.xlsx]主问卷!$D$96</c:f>
              <c:strCache>
                <c:ptCount val="1"/>
                <c:pt idx="0">
                  <c:v>重庆占比</c:v>
                </c:pt>
              </c:strCache>
            </c:strRef>
          </c:tx>
          <c:spPr>
            <a:solidFill>
              <a:schemeClr val="accent2"/>
            </a:solidFill>
            <a:ln>
              <a:noFill/>
            </a:ln>
            <a:effectLst/>
          </c:spPr>
          <c:invertIfNegative val="0"/>
          <c:dLbls>
            <c:dLbl>
              <c:idx val="0"/>
              <c:layout>
                <c:manualLayout>
                  <c:x val="0.00685192234488009"/>
                  <c:y val="-0.0377843719090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1364985163204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21811952797868"/>
                  <c:y val="-0.01068249258160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[重庆从业人员.xlsx]主问卷!$B$97:$B$102</c:f>
              <c:strCache>
                <c:ptCount val="6"/>
                <c:pt idx="0">
                  <c:v>明显增加</c:v>
                </c:pt>
                <c:pt idx="1">
                  <c:v>略有增加</c:v>
                </c:pt>
                <c:pt idx="2">
                  <c:v>没有变化</c:v>
                </c:pt>
                <c:pt idx="3">
                  <c:v>略有减少</c:v>
                </c:pt>
                <c:pt idx="4">
                  <c:v>明显减少</c:v>
                </c:pt>
                <c:pt idx="5">
                  <c:v>不了解</c:v>
                </c:pt>
              </c:strCache>
            </c:strRef>
          </c:cat>
          <c:val>
            <c:numRef>
              <c:f>[重庆从业人员.xlsx]主问卷!$D$97:$D$102</c:f>
              <c:numCache>
                <c:formatCode>0.00%</c:formatCode>
                <c:ptCount val="6"/>
                <c:pt idx="0">
                  <c:v>0.1905</c:v>
                </c:pt>
                <c:pt idx="1">
                  <c:v>0.2483</c:v>
                </c:pt>
                <c:pt idx="2">
                  <c:v>0.0879</c:v>
                </c:pt>
                <c:pt idx="3">
                  <c:v>0.212</c:v>
                </c:pt>
                <c:pt idx="4">
                  <c:v>0.1543</c:v>
                </c:pt>
                <c:pt idx="5">
                  <c:v>0.1069</c:v>
                </c:pt>
              </c:numCache>
            </c:numRef>
          </c:val>
        </c:ser>
        <c:ser>
          <c:idx val="2"/>
          <c:order val="2"/>
          <c:tx>
            <c:strRef>
              <c:f>[重庆从业人员.xlsx]主问卷!$E$96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[重庆从业人员.xlsx]主问卷!$B$97:$B$102</c:f>
              <c:strCache>
                <c:ptCount val="6"/>
                <c:pt idx="0">
                  <c:v>明显增加</c:v>
                </c:pt>
                <c:pt idx="1">
                  <c:v>略有增加</c:v>
                </c:pt>
                <c:pt idx="2">
                  <c:v>没有变化</c:v>
                </c:pt>
                <c:pt idx="3">
                  <c:v>略有减少</c:v>
                </c:pt>
                <c:pt idx="4">
                  <c:v>明显减少</c:v>
                </c:pt>
                <c:pt idx="5">
                  <c:v>不了解</c:v>
                </c:pt>
              </c:strCache>
            </c:strRef>
          </c:cat>
          <c:val>
            <c:numRef>
              <c:f>[重庆从业人员.xlsx]主问卷!$E$97:$E$102</c:f>
            </c:numRef>
          </c:val>
        </c:ser>
        <c:ser>
          <c:idx val="3"/>
          <c:order val="3"/>
          <c:tx>
            <c:strRef>
              <c:f>[重庆从业人员.xlsx]主问卷!$F$96</c:f>
              <c:strCache>
                <c:ptCount val="1"/>
                <c:pt idx="0">
                  <c:v>全国占比</c:v>
                </c:pt>
              </c:strCache>
            </c:strRef>
          </c:tx>
          <c:spPr>
            <a:solidFill>
              <a:schemeClr val="accent4"/>
            </a:solidFill>
            <a:ln>
              <a:noFill/>
            </a:ln>
            <a:effectLst/>
          </c:spPr>
          <c:invertIfNegative val="0"/>
          <c:dLbls>
            <c:dLbl>
              <c:idx val="1"/>
              <c:layout>
                <c:manualLayout>
                  <c:x val="0.0138307321405913"/>
                  <c:y val="-0.0025717111770524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94378885928182"/>
                  <c:y val="-0.01345202769535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3830732140591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[重庆从业人员.xlsx]主问卷!$B$97:$B$102</c:f>
              <c:strCache>
                <c:ptCount val="6"/>
                <c:pt idx="0">
                  <c:v>明显增加</c:v>
                </c:pt>
                <c:pt idx="1">
                  <c:v>略有增加</c:v>
                </c:pt>
                <c:pt idx="2">
                  <c:v>没有变化</c:v>
                </c:pt>
                <c:pt idx="3">
                  <c:v>略有减少</c:v>
                </c:pt>
                <c:pt idx="4">
                  <c:v>明显减少</c:v>
                </c:pt>
                <c:pt idx="5">
                  <c:v>不了解</c:v>
                </c:pt>
              </c:strCache>
            </c:strRef>
          </c:cat>
          <c:val>
            <c:numRef>
              <c:f>[重庆从业人员.xlsx]主问卷!$F$97:$F$102</c:f>
              <c:numCache>
                <c:formatCode>0.00%</c:formatCode>
                <c:ptCount val="6"/>
                <c:pt idx="0">
                  <c:v>0.1909</c:v>
                </c:pt>
                <c:pt idx="1">
                  <c:v>0.2142</c:v>
                </c:pt>
                <c:pt idx="2">
                  <c:v>0.0841</c:v>
                </c:pt>
                <c:pt idx="3">
                  <c:v>0.186</c:v>
                </c:pt>
                <c:pt idx="4">
                  <c:v>0.141</c:v>
                </c:pt>
                <c:pt idx="5">
                  <c:v>0.1838</c:v>
                </c:pt>
              </c:numCache>
            </c:numRef>
          </c:val>
        </c:ser>
        <c:dLbls>
          <c:showLegendKey val="0"/>
          <c:showVal val="1"/>
          <c:showCatName val="0"/>
          <c:showSerName val="0"/>
          <c:showPercent val="0"/>
          <c:showBubbleSize val="0"/>
        </c:dLbls>
        <c:gapWidth val="219"/>
        <c:overlap val="-27"/>
        <c:axId val="479537909"/>
        <c:axId val="192357352"/>
      </c:barChart>
      <c:catAx>
        <c:axId val="47953790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2357352"/>
        <c:crosses val="autoZero"/>
        <c:auto val="1"/>
        <c:lblAlgn val="ctr"/>
        <c:lblOffset val="100"/>
        <c:noMultiLvlLbl val="0"/>
      </c:catAx>
      <c:valAx>
        <c:axId val="1923573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953790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常见网络黑灰产业犯罪手法</a:t>
            </a:r>
            <a:endParaRPr b="1"/>
          </a:p>
        </c:rich>
      </c:tx>
      <c:layout/>
      <c:overlay val="0"/>
      <c:spPr>
        <a:noFill/>
        <a:ln>
          <a:noFill/>
        </a:ln>
        <a:effectLst/>
      </c:spPr>
    </c:title>
    <c:autoTitleDeleted val="0"/>
    <c:plotArea>
      <c:layout/>
      <c:barChart>
        <c:barDir val="bar"/>
        <c:grouping val="clustered"/>
        <c:varyColors val="0"/>
        <c:ser>
          <c:idx val="0"/>
          <c:order val="0"/>
          <c:tx>
            <c:strRef>
              <c:f>[重庆从业人员.xlsx]主问卷!$C$106</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[重庆从业人员.xlsx]主问卷!$B$107:$B$115</c:f>
              <c:strCache>
                <c:ptCount val="9"/>
                <c:pt idx="0">
                  <c:v>其他</c:v>
                </c:pt>
                <c:pt idx="1">
                  <c:v>DDOS攻击</c:v>
                </c:pt>
                <c:pt idx="2">
                  <c:v>肉鸡挖矿</c:v>
                </c:pt>
                <c:pt idx="3">
                  <c:v>“杀猪盘”</c:v>
                </c:pt>
                <c:pt idx="4">
                  <c:v>勒索病毒</c:v>
                </c:pt>
                <c:pt idx="5">
                  <c:v>暗扣话费</c:v>
                </c:pt>
                <c:pt idx="6">
                  <c:v>“薅羊毛”</c:v>
                </c:pt>
                <c:pt idx="7">
                  <c:v>手机应用分发</c:v>
                </c:pt>
                <c:pt idx="8">
                  <c:v>虚假流量</c:v>
                </c:pt>
              </c:strCache>
            </c:strRef>
          </c:cat>
          <c:val>
            <c:numRef>
              <c:f>[重庆从业人员.xlsx]主问卷!$C$107:$C$115</c:f>
            </c:numRef>
          </c:val>
        </c:ser>
        <c:ser>
          <c:idx val="1"/>
          <c:order val="1"/>
          <c:tx>
            <c:strRef>
              <c:f>[重庆从业人员.xlsx]主问卷!$D$106</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[重庆从业人员.xlsx]主问卷!$B$107:$B$115</c:f>
              <c:strCache>
                <c:ptCount val="9"/>
                <c:pt idx="0">
                  <c:v>其他</c:v>
                </c:pt>
                <c:pt idx="1">
                  <c:v>DDOS攻击</c:v>
                </c:pt>
                <c:pt idx="2">
                  <c:v>肉鸡挖矿</c:v>
                </c:pt>
                <c:pt idx="3">
                  <c:v>“杀猪盘”</c:v>
                </c:pt>
                <c:pt idx="4">
                  <c:v>勒索病毒</c:v>
                </c:pt>
                <c:pt idx="5">
                  <c:v>暗扣话费</c:v>
                </c:pt>
                <c:pt idx="6">
                  <c:v>“薅羊毛”</c:v>
                </c:pt>
                <c:pt idx="7">
                  <c:v>手机应用分发</c:v>
                </c:pt>
                <c:pt idx="8">
                  <c:v>虚假流量</c:v>
                </c:pt>
              </c:strCache>
            </c:strRef>
          </c:cat>
          <c:val>
            <c:numRef>
              <c:f>[重庆从业人员.xlsx]主问卷!$D$107:$D$115</c:f>
              <c:numCache>
                <c:formatCode>0.00%</c:formatCode>
                <c:ptCount val="9"/>
                <c:pt idx="0">
                  <c:v>0.0707</c:v>
                </c:pt>
                <c:pt idx="1">
                  <c:v>0.2071</c:v>
                </c:pt>
                <c:pt idx="2">
                  <c:v>0.2311</c:v>
                </c:pt>
                <c:pt idx="3">
                  <c:v>0.2655</c:v>
                </c:pt>
                <c:pt idx="4">
                  <c:v>0.3411</c:v>
                </c:pt>
                <c:pt idx="5">
                  <c:v>0.3632</c:v>
                </c:pt>
                <c:pt idx="6">
                  <c:v>0.48</c:v>
                </c:pt>
                <c:pt idx="7">
                  <c:v>0.4813</c:v>
                </c:pt>
                <c:pt idx="8">
                  <c:v>0.5421</c:v>
                </c:pt>
              </c:numCache>
            </c:numRef>
          </c:val>
        </c:ser>
        <c:ser>
          <c:idx val="2"/>
          <c:order val="2"/>
          <c:tx>
            <c:strRef>
              <c:f>[重庆从业人员.xlsx]主问卷!$E$106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[重庆从业人员.xlsx]主问卷!$B$107:$B$115</c:f>
              <c:strCache>
                <c:ptCount val="9"/>
                <c:pt idx="0">
                  <c:v>其他</c:v>
                </c:pt>
                <c:pt idx="1">
                  <c:v>DDOS攻击</c:v>
                </c:pt>
                <c:pt idx="2">
                  <c:v>肉鸡挖矿</c:v>
                </c:pt>
                <c:pt idx="3">
                  <c:v>“杀猪盘”</c:v>
                </c:pt>
                <c:pt idx="4">
                  <c:v>勒索病毒</c:v>
                </c:pt>
                <c:pt idx="5">
                  <c:v>暗扣话费</c:v>
                </c:pt>
                <c:pt idx="6">
                  <c:v>“薅羊毛”</c:v>
                </c:pt>
                <c:pt idx="7">
                  <c:v>手机应用分发</c:v>
                </c:pt>
                <c:pt idx="8">
                  <c:v>虚假流量</c:v>
                </c:pt>
              </c:strCache>
            </c:strRef>
          </c:cat>
          <c:val>
            <c:numRef>
              <c:f>[重庆从业人员.xlsx]主问卷!$E$107:$E$115</c:f>
            </c:numRef>
          </c:val>
        </c:ser>
        <c:ser>
          <c:idx val="3"/>
          <c:order val="3"/>
          <c:tx>
            <c:strRef>
              <c:f>[重庆从业人员.xlsx]主问卷!$F$106</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[重庆从业人员.xlsx]主问卷!$B$107:$B$115</c:f>
              <c:strCache>
                <c:ptCount val="9"/>
                <c:pt idx="0">
                  <c:v>其他</c:v>
                </c:pt>
                <c:pt idx="1">
                  <c:v>DDOS攻击</c:v>
                </c:pt>
                <c:pt idx="2">
                  <c:v>肉鸡挖矿</c:v>
                </c:pt>
                <c:pt idx="3">
                  <c:v>“杀猪盘”</c:v>
                </c:pt>
                <c:pt idx="4">
                  <c:v>勒索病毒</c:v>
                </c:pt>
                <c:pt idx="5">
                  <c:v>暗扣话费</c:v>
                </c:pt>
                <c:pt idx="6">
                  <c:v>“薅羊毛”</c:v>
                </c:pt>
                <c:pt idx="7">
                  <c:v>手机应用分发</c:v>
                </c:pt>
                <c:pt idx="8">
                  <c:v>虚假流量</c:v>
                </c:pt>
              </c:strCache>
            </c:strRef>
          </c:cat>
          <c:val>
            <c:numRef>
              <c:f>[重庆从业人员.xlsx]主问卷!$F$107:$F$115</c:f>
              <c:numCache>
                <c:formatCode>0.00%</c:formatCode>
                <c:ptCount val="9"/>
                <c:pt idx="0">
                  <c:v>0.1516</c:v>
                </c:pt>
                <c:pt idx="1">
                  <c:v>0.1472</c:v>
                </c:pt>
                <c:pt idx="2">
                  <c:v>0.142</c:v>
                </c:pt>
                <c:pt idx="3">
                  <c:v>0.1713</c:v>
                </c:pt>
                <c:pt idx="4">
                  <c:v>0.2744</c:v>
                </c:pt>
                <c:pt idx="5">
                  <c:v>0.3805</c:v>
                </c:pt>
                <c:pt idx="6">
                  <c:v>0.257</c:v>
                </c:pt>
                <c:pt idx="7">
                  <c:v>0.3842</c:v>
                </c:pt>
                <c:pt idx="8">
                  <c:v>0.4812</c:v>
                </c:pt>
              </c:numCache>
            </c:numRef>
          </c:val>
        </c:ser>
        <c:dLbls>
          <c:showLegendKey val="0"/>
          <c:showVal val="1"/>
          <c:showCatName val="0"/>
          <c:showSerName val="0"/>
          <c:showPercent val="0"/>
          <c:showBubbleSize val="0"/>
        </c:dLbls>
        <c:gapWidth val="182"/>
        <c:axId val="998680397"/>
        <c:axId val="313142397"/>
      </c:barChart>
      <c:catAx>
        <c:axId val="99868039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3142397"/>
        <c:crosses val="autoZero"/>
        <c:auto val="1"/>
        <c:lblAlgn val="ctr"/>
        <c:lblOffset val="100"/>
        <c:noMultiLvlLbl val="0"/>
      </c:catAx>
      <c:valAx>
        <c:axId val="31314239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868039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刷流量网络水军现象屡禁不绝的原因</a:t>
            </a:r>
            <a:endParaRPr b="1"/>
          </a:p>
        </c:rich>
      </c:tx>
      <c:layout/>
      <c:overlay val="0"/>
      <c:spPr>
        <a:noFill/>
        <a:ln>
          <a:noFill/>
        </a:ln>
        <a:effectLst/>
      </c:spPr>
    </c:title>
    <c:autoTitleDeleted val="0"/>
    <c:plotArea>
      <c:layout/>
      <c:barChart>
        <c:barDir val="bar"/>
        <c:grouping val="clustered"/>
        <c:varyColors val="0"/>
        <c:ser>
          <c:idx val="0"/>
          <c:order val="0"/>
          <c:tx>
            <c:strRef>
              <c:f>[重庆从业人员.xlsx]主问卷!$C$119</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[重庆从业人员.xlsx]主问卷!$B$120:$B$125</c:f>
              <c:strCache>
                <c:ptCount val="6"/>
                <c:pt idx="0">
                  <c:v>其他</c:v>
                </c:pt>
                <c:pt idx="1">
                  <c:v>社会监督不足</c:v>
                </c:pt>
                <c:pt idx="2">
                  <c:v>平台管理漏洞</c:v>
                </c:pt>
                <c:pt idx="3">
                  <c:v>监管力度不够</c:v>
                </c:pt>
                <c:pt idx="4">
                  <c:v>相关法律欠缺</c:v>
                </c:pt>
                <c:pt idx="5">
                  <c:v>利益驱动</c:v>
                </c:pt>
              </c:strCache>
            </c:strRef>
          </c:cat>
          <c:val>
            <c:numRef>
              <c:f>[重庆从业人员.xlsx]主问卷!$C$120:$C$125</c:f>
            </c:numRef>
          </c:val>
        </c:ser>
        <c:ser>
          <c:idx val="1"/>
          <c:order val="1"/>
          <c:tx>
            <c:strRef>
              <c:f>[重庆从业人员.xlsx]主问卷!$D$119</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[重庆从业人员.xlsx]主问卷!$B$120:$B$125</c:f>
              <c:strCache>
                <c:ptCount val="6"/>
                <c:pt idx="0">
                  <c:v>其他</c:v>
                </c:pt>
                <c:pt idx="1">
                  <c:v>社会监督不足</c:v>
                </c:pt>
                <c:pt idx="2">
                  <c:v>平台管理漏洞</c:v>
                </c:pt>
                <c:pt idx="3">
                  <c:v>监管力度不够</c:v>
                </c:pt>
                <c:pt idx="4">
                  <c:v>相关法律欠缺</c:v>
                </c:pt>
                <c:pt idx="5">
                  <c:v>利益驱动</c:v>
                </c:pt>
              </c:strCache>
            </c:strRef>
          </c:cat>
          <c:val>
            <c:numRef>
              <c:f>[重庆从业人员.xlsx]主问卷!$D$120:$D$125</c:f>
              <c:numCache>
                <c:formatCode>0.00%</c:formatCode>
                <c:ptCount val="6"/>
                <c:pt idx="0">
                  <c:v>0.0424</c:v>
                </c:pt>
                <c:pt idx="1">
                  <c:v>0.4106</c:v>
                </c:pt>
                <c:pt idx="2">
                  <c:v>0.5986</c:v>
                </c:pt>
                <c:pt idx="3">
                  <c:v>0.6872</c:v>
                </c:pt>
                <c:pt idx="4">
                  <c:v>0.7013</c:v>
                </c:pt>
                <c:pt idx="5">
                  <c:v>0.7449</c:v>
                </c:pt>
              </c:numCache>
            </c:numRef>
          </c:val>
        </c:ser>
        <c:ser>
          <c:idx val="2"/>
          <c:order val="2"/>
          <c:tx>
            <c:strRef>
              <c:f>[重庆从业人员.xlsx]主问卷!$E$119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[重庆从业人员.xlsx]主问卷!$B$120:$B$125</c:f>
              <c:strCache>
                <c:ptCount val="6"/>
                <c:pt idx="0">
                  <c:v>其他</c:v>
                </c:pt>
                <c:pt idx="1">
                  <c:v>社会监督不足</c:v>
                </c:pt>
                <c:pt idx="2">
                  <c:v>平台管理漏洞</c:v>
                </c:pt>
                <c:pt idx="3">
                  <c:v>监管力度不够</c:v>
                </c:pt>
                <c:pt idx="4">
                  <c:v>相关法律欠缺</c:v>
                </c:pt>
                <c:pt idx="5">
                  <c:v>利益驱动</c:v>
                </c:pt>
              </c:strCache>
            </c:strRef>
          </c:cat>
          <c:val>
            <c:numRef>
              <c:f>[重庆从业人员.xlsx]主问卷!$E$120:$E$125</c:f>
            </c:numRef>
          </c:val>
        </c:ser>
        <c:ser>
          <c:idx val="3"/>
          <c:order val="3"/>
          <c:tx>
            <c:strRef>
              <c:f>[重庆从业人员.xlsx]主问卷!$F$119</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[重庆从业人员.xlsx]主问卷!$B$120:$B$125</c:f>
              <c:strCache>
                <c:ptCount val="6"/>
                <c:pt idx="0">
                  <c:v>其他</c:v>
                </c:pt>
                <c:pt idx="1">
                  <c:v>社会监督不足</c:v>
                </c:pt>
                <c:pt idx="2">
                  <c:v>平台管理漏洞</c:v>
                </c:pt>
                <c:pt idx="3">
                  <c:v>监管力度不够</c:v>
                </c:pt>
                <c:pt idx="4">
                  <c:v>相关法律欠缺</c:v>
                </c:pt>
                <c:pt idx="5">
                  <c:v>利益驱动</c:v>
                </c:pt>
              </c:strCache>
            </c:strRef>
          </c:cat>
          <c:val>
            <c:numRef>
              <c:f>[重庆从业人员.xlsx]主问卷!$F$120:$F$125</c:f>
              <c:numCache>
                <c:formatCode>0.00%</c:formatCode>
                <c:ptCount val="6"/>
                <c:pt idx="0">
                  <c:v>0.0973</c:v>
                </c:pt>
                <c:pt idx="1">
                  <c:v>0.3285</c:v>
                </c:pt>
                <c:pt idx="2">
                  <c:v>0.5454</c:v>
                </c:pt>
                <c:pt idx="3">
                  <c:v>0.6262</c:v>
                </c:pt>
                <c:pt idx="4">
                  <c:v>0.5567</c:v>
                </c:pt>
                <c:pt idx="5">
                  <c:v>0.5498</c:v>
                </c:pt>
              </c:numCache>
            </c:numRef>
          </c:val>
        </c:ser>
        <c:dLbls>
          <c:showLegendKey val="0"/>
          <c:showVal val="1"/>
          <c:showCatName val="0"/>
          <c:showSerName val="0"/>
          <c:showPercent val="0"/>
          <c:showBubbleSize val="0"/>
        </c:dLbls>
        <c:gapWidth val="182"/>
        <c:axId val="830607578"/>
        <c:axId val="67708464"/>
      </c:barChart>
      <c:catAx>
        <c:axId val="83060757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708464"/>
        <c:crosses val="autoZero"/>
        <c:auto val="1"/>
        <c:lblAlgn val="ctr"/>
        <c:lblOffset val="100"/>
        <c:noMultiLvlLbl val="0"/>
      </c:catAx>
      <c:valAx>
        <c:axId val="677084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060757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整治网络黑灰产业关键手段评价</a:t>
            </a:r>
            <a:endParaRPr b="1"/>
          </a:p>
        </c:rich>
      </c:tx>
      <c:layout/>
      <c:overlay val="0"/>
      <c:spPr>
        <a:noFill/>
        <a:ln>
          <a:noFill/>
        </a:ln>
        <a:effectLst/>
      </c:spPr>
    </c:title>
    <c:autoTitleDeleted val="0"/>
    <c:plotArea>
      <c:layout/>
      <c:barChart>
        <c:barDir val="col"/>
        <c:grouping val="clustered"/>
        <c:varyColors val="0"/>
        <c:ser>
          <c:idx val="0"/>
          <c:order val="0"/>
          <c:tx>
            <c:strRef>
              <c:f>[重庆从业人员.xlsx]主问卷!$C$129</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[重庆从业人员.xlsx]主问卷!$B$130:$B$136</c:f>
              <c:strCache>
                <c:ptCount val="7"/>
                <c:pt idx="0">
                  <c:v>其他</c:v>
                </c:pt>
                <c:pt idx="1">
                  <c:v>工具链条</c:v>
                </c:pt>
                <c:pt idx="2">
                  <c:v>资金链条</c:v>
                </c:pt>
                <c:pt idx="3">
                  <c:v>帐号链条</c:v>
                </c:pt>
                <c:pt idx="4">
                  <c:v>推广链条</c:v>
                </c:pt>
                <c:pt idx="5">
                  <c:v>流量链条</c:v>
                </c:pt>
                <c:pt idx="6">
                  <c:v>信息链条</c:v>
                </c:pt>
              </c:strCache>
            </c:strRef>
          </c:cat>
          <c:val>
            <c:numRef>
              <c:f>[重庆从业人员.xlsx]主问卷!$C$130:$C$136</c:f>
            </c:numRef>
          </c:val>
        </c:ser>
        <c:ser>
          <c:idx val="1"/>
          <c:order val="1"/>
          <c:tx>
            <c:strRef>
              <c:f>[重庆从业人员.xlsx]主问卷!$D$129</c:f>
              <c:strCache>
                <c:ptCount val="1"/>
                <c:pt idx="0">
                  <c:v>重庆占比</c:v>
                </c:pt>
              </c:strCache>
            </c:strRef>
          </c:tx>
          <c:spPr>
            <a:solidFill>
              <a:schemeClr val="accent2"/>
            </a:solidFill>
            <a:ln>
              <a:noFill/>
            </a:ln>
            <a:effectLst/>
          </c:spPr>
          <c:invertIfNegative val="0"/>
          <c:dLbls>
            <c:dLbl>
              <c:idx val="0"/>
              <c:layout>
                <c:manualLayout>
                  <c:x val="-0.006690620740924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[重庆从业人员.xlsx]主问卷!$B$130:$B$136</c:f>
              <c:strCache>
                <c:ptCount val="7"/>
                <c:pt idx="0">
                  <c:v>其他</c:v>
                </c:pt>
                <c:pt idx="1">
                  <c:v>工具链条</c:v>
                </c:pt>
                <c:pt idx="2">
                  <c:v>资金链条</c:v>
                </c:pt>
                <c:pt idx="3">
                  <c:v>帐号链条</c:v>
                </c:pt>
                <c:pt idx="4">
                  <c:v>推广链条</c:v>
                </c:pt>
                <c:pt idx="5">
                  <c:v>流量链条</c:v>
                </c:pt>
                <c:pt idx="6">
                  <c:v>信息链条</c:v>
                </c:pt>
              </c:strCache>
            </c:strRef>
          </c:cat>
          <c:val>
            <c:numRef>
              <c:f>[重庆从业人员.xlsx]主问卷!$D$130:$D$136</c:f>
              <c:numCache>
                <c:formatCode>0.00%</c:formatCode>
                <c:ptCount val="7"/>
                <c:pt idx="0">
                  <c:v>0.0406</c:v>
                </c:pt>
                <c:pt idx="1">
                  <c:v>0.3546</c:v>
                </c:pt>
                <c:pt idx="2">
                  <c:v>0.5101</c:v>
                </c:pt>
                <c:pt idx="3">
                  <c:v>0.547</c:v>
                </c:pt>
                <c:pt idx="4">
                  <c:v>0.5605</c:v>
                </c:pt>
                <c:pt idx="5">
                  <c:v>0.571</c:v>
                </c:pt>
                <c:pt idx="6">
                  <c:v>0.6865</c:v>
                </c:pt>
              </c:numCache>
            </c:numRef>
          </c:val>
        </c:ser>
        <c:ser>
          <c:idx val="2"/>
          <c:order val="2"/>
          <c:tx>
            <c:strRef>
              <c:f>[重庆从业人员.xlsx]主问卷!$E$129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[重庆从业人员.xlsx]主问卷!$B$130:$B$136</c:f>
              <c:strCache>
                <c:ptCount val="7"/>
                <c:pt idx="0">
                  <c:v>其他</c:v>
                </c:pt>
                <c:pt idx="1">
                  <c:v>工具链条</c:v>
                </c:pt>
                <c:pt idx="2">
                  <c:v>资金链条</c:v>
                </c:pt>
                <c:pt idx="3">
                  <c:v>帐号链条</c:v>
                </c:pt>
                <c:pt idx="4">
                  <c:v>推广链条</c:v>
                </c:pt>
                <c:pt idx="5">
                  <c:v>流量链条</c:v>
                </c:pt>
                <c:pt idx="6">
                  <c:v>信息链条</c:v>
                </c:pt>
              </c:strCache>
            </c:strRef>
          </c:cat>
          <c:val>
            <c:numRef>
              <c:f>[重庆从业人员.xlsx]主问卷!$E$130:$E$136</c:f>
            </c:numRef>
          </c:val>
        </c:ser>
        <c:ser>
          <c:idx val="3"/>
          <c:order val="3"/>
          <c:tx>
            <c:strRef>
              <c:f>[重庆从业人员.xlsx]主问卷!$F$129</c:f>
              <c:strCache>
                <c:ptCount val="1"/>
                <c:pt idx="0">
                  <c:v>全国占比</c:v>
                </c:pt>
              </c:strCache>
            </c:strRef>
          </c:tx>
          <c:spPr>
            <a:solidFill>
              <a:schemeClr val="accent4"/>
            </a:solidFill>
            <a:ln>
              <a:noFill/>
            </a:ln>
            <a:effectLst/>
          </c:spPr>
          <c:invertIfNegative val="0"/>
          <c:dLbls>
            <c:dLbl>
              <c:idx val="1"/>
              <c:layout>
                <c:manualLayout>
                  <c:x val="0.0219303679841408"/>
                  <c:y val="0.01205083260297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70102837318796"/>
                  <c:y val="0.002848378615249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69743526204931"/>
                  <c:y val="0.01183172655565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35051418659398"/>
                  <c:y val="0.0030674846625766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236649733614174"/>
                  <c:y val="-0.008983347940403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236649733614174"/>
                  <c:y val="0.002848378615249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[重庆从业人员.xlsx]主问卷!$B$130:$B$136</c:f>
              <c:strCache>
                <c:ptCount val="7"/>
                <c:pt idx="0">
                  <c:v>其他</c:v>
                </c:pt>
                <c:pt idx="1">
                  <c:v>工具链条</c:v>
                </c:pt>
                <c:pt idx="2">
                  <c:v>资金链条</c:v>
                </c:pt>
                <c:pt idx="3">
                  <c:v>帐号链条</c:v>
                </c:pt>
                <c:pt idx="4">
                  <c:v>推广链条</c:v>
                </c:pt>
                <c:pt idx="5">
                  <c:v>流量链条</c:v>
                </c:pt>
                <c:pt idx="6">
                  <c:v>信息链条</c:v>
                </c:pt>
              </c:strCache>
            </c:strRef>
          </c:cat>
          <c:val>
            <c:numRef>
              <c:f>[重庆从业人员.xlsx]主问卷!$F$130:$F$136</c:f>
              <c:numCache>
                <c:formatCode>0.00%</c:formatCode>
                <c:ptCount val="7"/>
                <c:pt idx="0">
                  <c:v>0.1009</c:v>
                </c:pt>
                <c:pt idx="1">
                  <c:v>0.2945</c:v>
                </c:pt>
                <c:pt idx="2">
                  <c:v>0.437</c:v>
                </c:pt>
                <c:pt idx="3">
                  <c:v>0.4958</c:v>
                </c:pt>
                <c:pt idx="4">
                  <c:v>0.4278</c:v>
                </c:pt>
                <c:pt idx="5">
                  <c:v>0.4603</c:v>
                </c:pt>
                <c:pt idx="6">
                  <c:v>0.6408</c:v>
                </c:pt>
              </c:numCache>
            </c:numRef>
          </c:val>
        </c:ser>
        <c:dLbls>
          <c:showLegendKey val="0"/>
          <c:showVal val="1"/>
          <c:showCatName val="0"/>
          <c:showSerName val="0"/>
          <c:showPercent val="0"/>
          <c:showBubbleSize val="0"/>
        </c:dLbls>
        <c:gapWidth val="219"/>
        <c:overlap val="-27"/>
        <c:axId val="312835898"/>
        <c:axId val="520949655"/>
      </c:barChart>
      <c:catAx>
        <c:axId val="31283589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0949655"/>
        <c:crosses val="autoZero"/>
        <c:auto val="1"/>
        <c:lblAlgn val="ctr"/>
        <c:lblOffset val="100"/>
        <c:noMultiLvlLbl val="0"/>
      </c:catAx>
      <c:valAx>
        <c:axId val="52094965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283589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网络安全最突出或亟待治理的问题</a:t>
            </a:r>
            <a:endParaRPr b="1"/>
          </a:p>
        </c:rich>
      </c:tx>
      <c:layout/>
      <c:overlay val="0"/>
      <c:spPr>
        <a:noFill/>
        <a:ln>
          <a:noFill/>
        </a:ln>
        <a:effectLst/>
      </c:spPr>
    </c:title>
    <c:autoTitleDeleted val="0"/>
    <c:plotArea>
      <c:layout/>
      <c:barChart>
        <c:barDir val="bar"/>
        <c:grouping val="clustered"/>
        <c:varyColors val="0"/>
        <c:ser>
          <c:idx val="0"/>
          <c:order val="0"/>
          <c:tx>
            <c:strRef>
              <c:f>[重庆从业人员.xlsx]主问卷!$C$140</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[重庆从业人员.xlsx]主问卷!$B$141:$B$154</c:f>
              <c:strCache>
                <c:ptCount val="14"/>
                <c:pt idx="0">
                  <c:v>其他</c:v>
                </c:pt>
                <c:pt idx="1">
                  <c:v>网络制售毒品、枪支等</c:v>
                </c:pt>
                <c:pt idx="2">
                  <c:v>游戏沉迷</c:v>
                </c:pt>
                <c:pt idx="3">
                  <c:v>病毒木马</c:v>
                </c:pt>
                <c:pt idx="4">
                  <c:v>网络侵权盗版</c:v>
                </c:pt>
                <c:pt idx="5">
                  <c:v>网络攻击和窃密</c:v>
                </c:pt>
                <c:pt idx="6">
                  <c:v>网络传销</c:v>
                </c:pt>
                <c:pt idx="7">
                  <c:v>网络支付陷阱与恶意吸费</c:v>
                </c:pt>
                <c:pt idx="8">
                  <c:v>网络色情</c:v>
                </c:pt>
                <c:pt idx="9">
                  <c:v>网络赌博</c:v>
                </c:pt>
                <c:pt idx="10">
                  <c:v>网络谣言与诽谤</c:v>
                </c:pt>
                <c:pt idx="11">
                  <c:v>网络骚扰</c:v>
                </c:pt>
                <c:pt idx="12">
                  <c:v>网络诈骗</c:v>
                </c:pt>
                <c:pt idx="13">
                  <c:v>信息泄露</c:v>
                </c:pt>
              </c:strCache>
            </c:strRef>
          </c:cat>
          <c:val>
            <c:numRef>
              <c:f>[重庆从业人员.xlsx]主问卷!$C$141:$C$154</c:f>
            </c:numRef>
          </c:val>
        </c:ser>
        <c:ser>
          <c:idx val="1"/>
          <c:order val="1"/>
          <c:tx>
            <c:strRef>
              <c:f>[重庆从业人员.xlsx]主问卷!$D$140</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[重庆从业人员.xlsx]主问卷!$B$141:$B$154</c:f>
              <c:strCache>
                <c:ptCount val="14"/>
                <c:pt idx="0">
                  <c:v>其他</c:v>
                </c:pt>
                <c:pt idx="1">
                  <c:v>网络制售毒品、枪支等</c:v>
                </c:pt>
                <c:pt idx="2">
                  <c:v>游戏沉迷</c:v>
                </c:pt>
                <c:pt idx="3">
                  <c:v>病毒木马</c:v>
                </c:pt>
                <c:pt idx="4">
                  <c:v>网络侵权盗版</c:v>
                </c:pt>
                <c:pt idx="5">
                  <c:v>网络攻击和窃密</c:v>
                </c:pt>
                <c:pt idx="6">
                  <c:v>网络传销</c:v>
                </c:pt>
                <c:pt idx="7">
                  <c:v>网络支付陷阱与恶意吸费</c:v>
                </c:pt>
                <c:pt idx="8">
                  <c:v>网络色情</c:v>
                </c:pt>
                <c:pt idx="9">
                  <c:v>网络赌博</c:v>
                </c:pt>
                <c:pt idx="10">
                  <c:v>网络谣言与诽谤</c:v>
                </c:pt>
                <c:pt idx="11">
                  <c:v>网络骚扰</c:v>
                </c:pt>
                <c:pt idx="12">
                  <c:v>网络诈骗</c:v>
                </c:pt>
                <c:pt idx="13">
                  <c:v>信息泄露</c:v>
                </c:pt>
              </c:strCache>
            </c:strRef>
          </c:cat>
          <c:val>
            <c:numRef>
              <c:f>[重庆从业人员.xlsx]主问卷!$D$141:$D$154</c:f>
              <c:numCache>
                <c:formatCode>0.00%</c:formatCode>
                <c:ptCount val="14"/>
                <c:pt idx="0">
                  <c:v>0.0209</c:v>
                </c:pt>
                <c:pt idx="1">
                  <c:v>0.2286</c:v>
                </c:pt>
                <c:pt idx="2">
                  <c:v>0.3196</c:v>
                </c:pt>
                <c:pt idx="3">
                  <c:v>0.3651</c:v>
                </c:pt>
                <c:pt idx="4">
                  <c:v>0.3731</c:v>
                </c:pt>
                <c:pt idx="5">
                  <c:v>0.4057</c:v>
                </c:pt>
                <c:pt idx="6">
                  <c:v>0.4561</c:v>
                </c:pt>
                <c:pt idx="7">
                  <c:v>0.5009</c:v>
                </c:pt>
                <c:pt idx="8">
                  <c:v>0.523</c:v>
                </c:pt>
                <c:pt idx="9">
                  <c:v>0.5501</c:v>
                </c:pt>
                <c:pt idx="10">
                  <c:v>0.6183</c:v>
                </c:pt>
                <c:pt idx="11">
                  <c:v>0.6859</c:v>
                </c:pt>
                <c:pt idx="12">
                  <c:v>0.7234</c:v>
                </c:pt>
                <c:pt idx="13">
                  <c:v>0.8568</c:v>
                </c:pt>
              </c:numCache>
            </c:numRef>
          </c:val>
        </c:ser>
        <c:ser>
          <c:idx val="2"/>
          <c:order val="2"/>
          <c:tx>
            <c:strRef>
              <c:f>[重庆从业人员.xlsx]主问卷!$E$140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[重庆从业人员.xlsx]主问卷!$B$141:$B$154</c:f>
              <c:strCache>
                <c:ptCount val="14"/>
                <c:pt idx="0">
                  <c:v>其他</c:v>
                </c:pt>
                <c:pt idx="1">
                  <c:v>网络制售毒品、枪支等</c:v>
                </c:pt>
                <c:pt idx="2">
                  <c:v>游戏沉迷</c:v>
                </c:pt>
                <c:pt idx="3">
                  <c:v>病毒木马</c:v>
                </c:pt>
                <c:pt idx="4">
                  <c:v>网络侵权盗版</c:v>
                </c:pt>
                <c:pt idx="5">
                  <c:v>网络攻击和窃密</c:v>
                </c:pt>
                <c:pt idx="6">
                  <c:v>网络传销</c:v>
                </c:pt>
                <c:pt idx="7">
                  <c:v>网络支付陷阱与恶意吸费</c:v>
                </c:pt>
                <c:pt idx="8">
                  <c:v>网络色情</c:v>
                </c:pt>
                <c:pt idx="9">
                  <c:v>网络赌博</c:v>
                </c:pt>
                <c:pt idx="10">
                  <c:v>网络谣言与诽谤</c:v>
                </c:pt>
                <c:pt idx="11">
                  <c:v>网络骚扰</c:v>
                </c:pt>
                <c:pt idx="12">
                  <c:v>网络诈骗</c:v>
                </c:pt>
                <c:pt idx="13">
                  <c:v>信息泄露</c:v>
                </c:pt>
              </c:strCache>
            </c:strRef>
          </c:cat>
          <c:val>
            <c:numRef>
              <c:f>[重庆从业人员.xlsx]主问卷!$E$141:$E$154</c:f>
            </c:numRef>
          </c:val>
        </c:ser>
        <c:ser>
          <c:idx val="3"/>
          <c:order val="3"/>
          <c:tx>
            <c:strRef>
              <c:f>[重庆从业人员.xlsx]主问卷!$F$140</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[重庆从业人员.xlsx]主问卷!$B$141:$B$154</c:f>
              <c:strCache>
                <c:ptCount val="14"/>
                <c:pt idx="0">
                  <c:v>其他</c:v>
                </c:pt>
                <c:pt idx="1">
                  <c:v>网络制售毒品、枪支等</c:v>
                </c:pt>
                <c:pt idx="2">
                  <c:v>游戏沉迷</c:v>
                </c:pt>
                <c:pt idx="3">
                  <c:v>病毒木马</c:v>
                </c:pt>
                <c:pt idx="4">
                  <c:v>网络侵权盗版</c:v>
                </c:pt>
                <c:pt idx="5">
                  <c:v>网络攻击和窃密</c:v>
                </c:pt>
                <c:pt idx="6">
                  <c:v>网络传销</c:v>
                </c:pt>
                <c:pt idx="7">
                  <c:v>网络支付陷阱与恶意吸费</c:v>
                </c:pt>
                <c:pt idx="8">
                  <c:v>网络色情</c:v>
                </c:pt>
                <c:pt idx="9">
                  <c:v>网络赌博</c:v>
                </c:pt>
                <c:pt idx="10">
                  <c:v>网络谣言与诽谤</c:v>
                </c:pt>
                <c:pt idx="11">
                  <c:v>网络骚扰</c:v>
                </c:pt>
                <c:pt idx="12">
                  <c:v>网络诈骗</c:v>
                </c:pt>
                <c:pt idx="13">
                  <c:v>信息泄露</c:v>
                </c:pt>
              </c:strCache>
            </c:strRef>
          </c:cat>
          <c:val>
            <c:numRef>
              <c:f>[重庆从业人员.xlsx]主问卷!$F$141:$F$154</c:f>
              <c:numCache>
                <c:formatCode>0.00%</c:formatCode>
                <c:ptCount val="14"/>
                <c:pt idx="0">
                  <c:v>0.0698</c:v>
                </c:pt>
                <c:pt idx="1">
                  <c:v>0.2022</c:v>
                </c:pt>
                <c:pt idx="2">
                  <c:v>0.4135</c:v>
                </c:pt>
                <c:pt idx="3">
                  <c:v>0.3627</c:v>
                </c:pt>
                <c:pt idx="4">
                  <c:v>0.2634</c:v>
                </c:pt>
                <c:pt idx="5">
                  <c:v>0.3248</c:v>
                </c:pt>
                <c:pt idx="6">
                  <c:v>0.3664</c:v>
                </c:pt>
                <c:pt idx="7">
                  <c:v>0.3945</c:v>
                </c:pt>
                <c:pt idx="8">
                  <c:v>0.4415</c:v>
                </c:pt>
                <c:pt idx="9">
                  <c:v>0.4619</c:v>
                </c:pt>
                <c:pt idx="10">
                  <c:v>0.4676</c:v>
                </c:pt>
                <c:pt idx="11">
                  <c:v>0.6202</c:v>
                </c:pt>
                <c:pt idx="12">
                  <c:v>0.6559</c:v>
                </c:pt>
                <c:pt idx="13">
                  <c:v>0.7731</c:v>
                </c:pt>
              </c:numCache>
            </c:numRef>
          </c:val>
        </c:ser>
        <c:dLbls>
          <c:showLegendKey val="0"/>
          <c:showVal val="1"/>
          <c:showCatName val="0"/>
          <c:showSerName val="0"/>
          <c:showPercent val="0"/>
          <c:showBubbleSize val="0"/>
        </c:dLbls>
        <c:gapWidth val="182"/>
        <c:axId val="106089343"/>
        <c:axId val="317890969"/>
      </c:barChart>
      <c:catAx>
        <c:axId val="10608934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7890969"/>
        <c:crosses val="autoZero"/>
        <c:auto val="1"/>
        <c:lblAlgn val="ctr"/>
        <c:lblOffset val="100"/>
        <c:noMultiLvlLbl val="0"/>
      </c:catAx>
      <c:valAx>
        <c:axId val="31789096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608934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维护网络安全最需要采取的措施</a:t>
            </a:r>
            <a:endParaRPr b="1"/>
          </a:p>
        </c:rich>
      </c:tx>
      <c:layout/>
      <c:overlay val="0"/>
      <c:spPr>
        <a:noFill/>
        <a:ln>
          <a:noFill/>
        </a:ln>
        <a:effectLst/>
      </c:spPr>
    </c:title>
    <c:autoTitleDeleted val="0"/>
    <c:plotArea>
      <c:layout/>
      <c:barChart>
        <c:barDir val="bar"/>
        <c:grouping val="clustered"/>
        <c:varyColors val="0"/>
        <c:ser>
          <c:idx val="0"/>
          <c:order val="0"/>
          <c:tx>
            <c:strRef>
              <c:f>[重庆从业人员.xlsx]主问卷!$C$158</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[重庆从业人员.xlsx]主问卷!$B$159:$B$172</c:f>
              <c:strCache>
                <c:ptCount val="14"/>
                <c:pt idx="0">
                  <c:v>其他</c:v>
                </c:pt>
                <c:pt idx="1">
                  <c:v>及时发布网络安全预警信息</c:v>
                </c:pt>
                <c:pt idx="2">
                  <c:v>推动社会力量参与网络治理</c:v>
                </c:pt>
                <c:pt idx="3">
                  <c:v>加强网络安全培训和普法宣传</c:v>
                </c:pt>
                <c:pt idx="4">
                  <c:v>健全网络安全投诉举报机制</c:v>
                </c:pt>
                <c:pt idx="5">
                  <c:v>加强未成年人上网保护</c:v>
                </c:pt>
                <c:pt idx="6">
                  <c:v>实施更加严格的网络实名管理</c:v>
                </c:pt>
                <c:pt idx="7">
                  <c:v>提升网络安全问题的发现能力</c:v>
                </c:pt>
                <c:pt idx="8">
                  <c:v>落实网络平台主体责任</c:v>
                </c:pt>
                <c:pt idx="9">
                  <c:v>将网络失信行为纳入信用管理</c:v>
                </c:pt>
                <c:pt idx="10">
                  <c:v>贯彻落实网络安全等级保护制度</c:v>
                </c:pt>
                <c:pt idx="11">
                  <c:v>严厉打击网络违法犯罪行为</c:v>
                </c:pt>
                <c:pt idx="12">
                  <c:v>强化网络安全监管</c:v>
                </c:pt>
                <c:pt idx="13">
                  <c:v>加强网络安全法制建设</c:v>
                </c:pt>
              </c:strCache>
            </c:strRef>
          </c:cat>
          <c:val>
            <c:numRef>
              <c:f>[重庆从业人员.xlsx]主问卷!$C$159:$C$172</c:f>
            </c:numRef>
          </c:val>
        </c:ser>
        <c:ser>
          <c:idx val="1"/>
          <c:order val="1"/>
          <c:tx>
            <c:strRef>
              <c:f>[重庆从业人员.xlsx]主问卷!$D$158</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[重庆从业人员.xlsx]主问卷!$B$159:$B$172</c:f>
              <c:strCache>
                <c:ptCount val="14"/>
                <c:pt idx="0">
                  <c:v>其他</c:v>
                </c:pt>
                <c:pt idx="1">
                  <c:v>及时发布网络安全预警信息</c:v>
                </c:pt>
                <c:pt idx="2">
                  <c:v>推动社会力量参与网络治理</c:v>
                </c:pt>
                <c:pt idx="3">
                  <c:v>加强网络安全培训和普法宣传</c:v>
                </c:pt>
                <c:pt idx="4">
                  <c:v>健全网络安全投诉举报机制</c:v>
                </c:pt>
                <c:pt idx="5">
                  <c:v>加强未成年人上网保护</c:v>
                </c:pt>
                <c:pt idx="6">
                  <c:v>实施更加严格的网络实名管理</c:v>
                </c:pt>
                <c:pt idx="7">
                  <c:v>提升网络安全问题的发现能力</c:v>
                </c:pt>
                <c:pt idx="8">
                  <c:v>落实网络平台主体责任</c:v>
                </c:pt>
                <c:pt idx="9">
                  <c:v>将网络失信行为纳入信用管理</c:v>
                </c:pt>
                <c:pt idx="10">
                  <c:v>贯彻落实网络安全等级保护制度</c:v>
                </c:pt>
                <c:pt idx="11">
                  <c:v>严厉打击网络违法犯罪行为</c:v>
                </c:pt>
                <c:pt idx="12">
                  <c:v>强化网络安全监管</c:v>
                </c:pt>
                <c:pt idx="13">
                  <c:v>加强网络安全法制建设</c:v>
                </c:pt>
              </c:strCache>
            </c:strRef>
          </c:cat>
          <c:val>
            <c:numRef>
              <c:f>[重庆从业人员.xlsx]主问卷!$D$159:$D$172</c:f>
              <c:numCache>
                <c:formatCode>0.00%</c:formatCode>
                <c:ptCount val="14"/>
                <c:pt idx="0">
                  <c:v>0.0184</c:v>
                </c:pt>
                <c:pt idx="1">
                  <c:v>0.4155</c:v>
                </c:pt>
                <c:pt idx="2">
                  <c:v>0.4161</c:v>
                </c:pt>
                <c:pt idx="3">
                  <c:v>0.4616</c:v>
                </c:pt>
                <c:pt idx="4">
                  <c:v>0.5101</c:v>
                </c:pt>
                <c:pt idx="5">
                  <c:v>0.531</c:v>
                </c:pt>
                <c:pt idx="6">
                  <c:v>0.5341</c:v>
                </c:pt>
                <c:pt idx="7">
                  <c:v>0.5648</c:v>
                </c:pt>
                <c:pt idx="8">
                  <c:v>0.5716</c:v>
                </c:pt>
                <c:pt idx="9">
                  <c:v>0.5851</c:v>
                </c:pt>
                <c:pt idx="10">
                  <c:v>0.6325</c:v>
                </c:pt>
                <c:pt idx="11">
                  <c:v>0.6368</c:v>
                </c:pt>
                <c:pt idx="12">
                  <c:v>0.6742</c:v>
                </c:pt>
                <c:pt idx="13">
                  <c:v>0.807</c:v>
                </c:pt>
              </c:numCache>
            </c:numRef>
          </c:val>
        </c:ser>
        <c:ser>
          <c:idx val="2"/>
          <c:order val="2"/>
          <c:tx>
            <c:strRef>
              <c:f>[重庆从业人员.xlsx]主问卷!$E$158</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[重庆从业人员.xlsx]主问卷!$B$159:$B$172</c:f>
              <c:strCache>
                <c:ptCount val="14"/>
                <c:pt idx="0">
                  <c:v>其他</c:v>
                </c:pt>
                <c:pt idx="1">
                  <c:v>及时发布网络安全预警信息</c:v>
                </c:pt>
                <c:pt idx="2">
                  <c:v>推动社会力量参与网络治理</c:v>
                </c:pt>
                <c:pt idx="3">
                  <c:v>加强网络安全培训和普法宣传</c:v>
                </c:pt>
                <c:pt idx="4">
                  <c:v>健全网络安全投诉举报机制</c:v>
                </c:pt>
                <c:pt idx="5">
                  <c:v>加强未成年人上网保护</c:v>
                </c:pt>
                <c:pt idx="6">
                  <c:v>实施更加严格的网络实名管理</c:v>
                </c:pt>
                <c:pt idx="7">
                  <c:v>提升网络安全问题的发现能力</c:v>
                </c:pt>
                <c:pt idx="8">
                  <c:v>落实网络平台主体责任</c:v>
                </c:pt>
                <c:pt idx="9">
                  <c:v>将网络失信行为纳入信用管理</c:v>
                </c:pt>
                <c:pt idx="10">
                  <c:v>贯彻落实网络安全等级保护制度</c:v>
                </c:pt>
                <c:pt idx="11">
                  <c:v>严厉打击网络违法犯罪行为</c:v>
                </c:pt>
                <c:pt idx="12">
                  <c:v>强化网络安全监管</c:v>
                </c:pt>
                <c:pt idx="13">
                  <c:v>加强网络安全法制建设</c:v>
                </c:pt>
              </c:strCache>
            </c:strRef>
          </c:cat>
          <c:val>
            <c:numRef>
              <c:f>[重庆从业人员.xlsx]主问卷!$E$159:$E$172</c:f>
            </c:numRef>
          </c:val>
        </c:ser>
        <c:ser>
          <c:idx val="3"/>
          <c:order val="3"/>
          <c:tx>
            <c:strRef>
              <c:f>[重庆从业人员.xlsx]主问卷!$F$158</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[重庆从业人员.xlsx]主问卷!$B$159:$B$172</c:f>
              <c:strCache>
                <c:ptCount val="14"/>
                <c:pt idx="0">
                  <c:v>其他</c:v>
                </c:pt>
                <c:pt idx="1">
                  <c:v>及时发布网络安全预警信息</c:v>
                </c:pt>
                <c:pt idx="2">
                  <c:v>推动社会力量参与网络治理</c:v>
                </c:pt>
                <c:pt idx="3">
                  <c:v>加强网络安全培训和普法宣传</c:v>
                </c:pt>
                <c:pt idx="4">
                  <c:v>健全网络安全投诉举报机制</c:v>
                </c:pt>
                <c:pt idx="5">
                  <c:v>加强未成年人上网保护</c:v>
                </c:pt>
                <c:pt idx="6">
                  <c:v>实施更加严格的网络实名管理</c:v>
                </c:pt>
                <c:pt idx="7">
                  <c:v>提升网络安全问题的发现能力</c:v>
                </c:pt>
                <c:pt idx="8">
                  <c:v>落实网络平台主体责任</c:v>
                </c:pt>
                <c:pt idx="9">
                  <c:v>将网络失信行为纳入信用管理</c:v>
                </c:pt>
                <c:pt idx="10">
                  <c:v>贯彻落实网络安全等级保护制度</c:v>
                </c:pt>
                <c:pt idx="11">
                  <c:v>严厉打击网络违法犯罪行为</c:v>
                </c:pt>
                <c:pt idx="12">
                  <c:v>强化网络安全监管</c:v>
                </c:pt>
                <c:pt idx="13">
                  <c:v>加强网络安全法制建设</c:v>
                </c:pt>
              </c:strCache>
            </c:strRef>
          </c:cat>
          <c:val>
            <c:numRef>
              <c:f>[重庆从业人员.xlsx]主问卷!$F$159:$F$172</c:f>
              <c:numCache>
                <c:formatCode>0.00%</c:formatCode>
                <c:ptCount val="14"/>
                <c:pt idx="0">
                  <c:v>0.0637</c:v>
                </c:pt>
                <c:pt idx="1">
                  <c:v>0.361</c:v>
                </c:pt>
                <c:pt idx="2">
                  <c:v>0.3494</c:v>
                </c:pt>
                <c:pt idx="3">
                  <c:v>0.3801</c:v>
                </c:pt>
                <c:pt idx="4">
                  <c:v>0.4001</c:v>
                </c:pt>
                <c:pt idx="5">
                  <c:v>0.4824</c:v>
                </c:pt>
                <c:pt idx="6">
                  <c:v>0.4657</c:v>
                </c:pt>
                <c:pt idx="7">
                  <c:v>0.5222</c:v>
                </c:pt>
                <c:pt idx="8">
                  <c:v>0.4973</c:v>
                </c:pt>
                <c:pt idx="9">
                  <c:v>0.4538</c:v>
                </c:pt>
                <c:pt idx="10">
                  <c:v>0.5669</c:v>
                </c:pt>
                <c:pt idx="11">
                  <c:v>0.5327</c:v>
                </c:pt>
                <c:pt idx="12">
                  <c:v>0.6311</c:v>
                </c:pt>
                <c:pt idx="13">
                  <c:v>0.7608</c:v>
                </c:pt>
              </c:numCache>
            </c:numRef>
          </c:val>
        </c:ser>
        <c:dLbls>
          <c:showLegendKey val="0"/>
          <c:showVal val="1"/>
          <c:showCatName val="0"/>
          <c:showSerName val="0"/>
          <c:showPercent val="0"/>
          <c:showBubbleSize val="0"/>
        </c:dLbls>
        <c:gapWidth val="182"/>
        <c:axId val="272903830"/>
        <c:axId val="407418352"/>
      </c:barChart>
      <c:catAx>
        <c:axId val="27290383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7418352"/>
        <c:crosses val="autoZero"/>
        <c:auto val="1"/>
        <c:lblAlgn val="ctr"/>
        <c:lblOffset val="100"/>
        <c:noMultiLvlLbl val="0"/>
      </c:catAx>
      <c:valAx>
        <c:axId val="40741835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290383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亟待加强的网络安全立法内容</a:t>
            </a:r>
            <a:endParaRPr b="1"/>
          </a:p>
        </c:rich>
      </c:tx>
      <c:layout/>
      <c:overlay val="0"/>
      <c:spPr>
        <a:noFill/>
        <a:ln>
          <a:noFill/>
        </a:ln>
        <a:effectLst/>
      </c:spPr>
    </c:title>
    <c:autoTitleDeleted val="0"/>
    <c:plotArea>
      <c:layout/>
      <c:barChart>
        <c:barDir val="bar"/>
        <c:grouping val="clustered"/>
        <c:varyColors val="0"/>
        <c:ser>
          <c:idx val="0"/>
          <c:order val="0"/>
          <c:tx>
            <c:strRef>
              <c:f>[重庆从业人员.xlsx]主问卷!$C$176</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[重庆从业人员.xlsx]主问卷!$B$177:$B$190</c:f>
              <c:strCache>
                <c:ptCount val="14"/>
                <c:pt idx="0">
                  <c:v>其他</c:v>
                </c:pt>
                <c:pt idx="1">
                  <c:v>人工智能管理</c:v>
                </c:pt>
                <c:pt idx="2">
                  <c:v>网络安全从业人员管理</c:v>
                </c:pt>
                <c:pt idx="3">
                  <c:v>数据权利的民事立法</c:v>
                </c:pt>
                <c:pt idx="4">
                  <c:v>网络信息内容治理</c:v>
                </c:pt>
                <c:pt idx="5">
                  <c:v>网络黑灰产业治理</c:v>
                </c:pt>
                <c:pt idx="6">
                  <c:v>数据安全保护</c:v>
                </c:pt>
                <c:pt idx="7">
                  <c:v>网络安全等级保护</c:v>
                </c:pt>
                <c:pt idx="8">
                  <c:v>关键信息基础设施保护</c:v>
                </c:pt>
                <c:pt idx="9">
                  <c:v>网络安全各领域监管</c:v>
                </c:pt>
                <c:pt idx="10">
                  <c:v>未成年人上网保护</c:v>
                </c:pt>
                <c:pt idx="11">
                  <c:v>网络违法犯罪防治</c:v>
                </c:pt>
                <c:pt idx="12">
                  <c:v>网络平台责任</c:v>
                </c:pt>
                <c:pt idx="13">
                  <c:v>个人信息保护</c:v>
                </c:pt>
              </c:strCache>
            </c:strRef>
          </c:cat>
          <c:val>
            <c:numRef>
              <c:f>[重庆从业人员.xlsx]主问卷!$C$177:$C$190</c:f>
            </c:numRef>
          </c:val>
        </c:ser>
        <c:ser>
          <c:idx val="1"/>
          <c:order val="1"/>
          <c:tx>
            <c:strRef>
              <c:f>[重庆从业人员.xlsx]主问卷!$D$176</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[重庆从业人员.xlsx]主问卷!$B$177:$B$190</c:f>
              <c:strCache>
                <c:ptCount val="14"/>
                <c:pt idx="0">
                  <c:v>其他</c:v>
                </c:pt>
                <c:pt idx="1">
                  <c:v>人工智能管理</c:v>
                </c:pt>
                <c:pt idx="2">
                  <c:v>网络安全从业人员管理</c:v>
                </c:pt>
                <c:pt idx="3">
                  <c:v>数据权利的民事立法</c:v>
                </c:pt>
                <c:pt idx="4">
                  <c:v>网络信息内容治理</c:v>
                </c:pt>
                <c:pt idx="5">
                  <c:v>网络黑灰产业治理</c:v>
                </c:pt>
                <c:pt idx="6">
                  <c:v>数据安全保护</c:v>
                </c:pt>
                <c:pt idx="7">
                  <c:v>网络安全等级保护</c:v>
                </c:pt>
                <c:pt idx="8">
                  <c:v>关键信息基础设施保护</c:v>
                </c:pt>
                <c:pt idx="9">
                  <c:v>网络安全各领域监管</c:v>
                </c:pt>
                <c:pt idx="10">
                  <c:v>未成年人上网保护</c:v>
                </c:pt>
                <c:pt idx="11">
                  <c:v>网络违法犯罪防治</c:v>
                </c:pt>
                <c:pt idx="12">
                  <c:v>网络平台责任</c:v>
                </c:pt>
                <c:pt idx="13">
                  <c:v>个人信息保护</c:v>
                </c:pt>
              </c:strCache>
            </c:strRef>
          </c:cat>
          <c:val>
            <c:numRef>
              <c:f>[重庆从业人员.xlsx]主问卷!$D$177:$D$190</c:f>
              <c:numCache>
                <c:formatCode>0.00%</c:formatCode>
                <c:ptCount val="14"/>
                <c:pt idx="0">
                  <c:v>0.0197</c:v>
                </c:pt>
                <c:pt idx="1">
                  <c:v>0.2698</c:v>
                </c:pt>
                <c:pt idx="2">
                  <c:v>0.3454</c:v>
                </c:pt>
                <c:pt idx="3">
                  <c:v>0.3731</c:v>
                </c:pt>
                <c:pt idx="4">
                  <c:v>0.3927</c:v>
                </c:pt>
                <c:pt idx="5">
                  <c:v>0.4505</c:v>
                </c:pt>
                <c:pt idx="6">
                  <c:v>0.4536</c:v>
                </c:pt>
                <c:pt idx="7">
                  <c:v>0.4659</c:v>
                </c:pt>
                <c:pt idx="8">
                  <c:v>0.4702</c:v>
                </c:pt>
                <c:pt idx="9">
                  <c:v>0.4843</c:v>
                </c:pt>
                <c:pt idx="10">
                  <c:v>0.504</c:v>
                </c:pt>
                <c:pt idx="11">
                  <c:v>0.5249</c:v>
                </c:pt>
                <c:pt idx="12">
                  <c:v>0.6656</c:v>
                </c:pt>
                <c:pt idx="13">
                  <c:v>0.8015</c:v>
                </c:pt>
              </c:numCache>
            </c:numRef>
          </c:val>
        </c:ser>
        <c:ser>
          <c:idx val="2"/>
          <c:order val="2"/>
          <c:tx>
            <c:strRef>
              <c:f>[重庆从业人员.xlsx]主问卷!$E$176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[重庆从业人员.xlsx]主问卷!$B$177:$B$190</c:f>
              <c:strCache>
                <c:ptCount val="14"/>
                <c:pt idx="0">
                  <c:v>其他</c:v>
                </c:pt>
                <c:pt idx="1">
                  <c:v>人工智能管理</c:v>
                </c:pt>
                <c:pt idx="2">
                  <c:v>网络安全从业人员管理</c:v>
                </c:pt>
                <c:pt idx="3">
                  <c:v>数据权利的民事立法</c:v>
                </c:pt>
                <c:pt idx="4">
                  <c:v>网络信息内容治理</c:v>
                </c:pt>
                <c:pt idx="5">
                  <c:v>网络黑灰产业治理</c:v>
                </c:pt>
                <c:pt idx="6">
                  <c:v>数据安全保护</c:v>
                </c:pt>
                <c:pt idx="7">
                  <c:v>网络安全等级保护</c:v>
                </c:pt>
                <c:pt idx="8">
                  <c:v>关键信息基础设施保护</c:v>
                </c:pt>
                <c:pt idx="9">
                  <c:v>网络安全各领域监管</c:v>
                </c:pt>
                <c:pt idx="10">
                  <c:v>未成年人上网保护</c:v>
                </c:pt>
                <c:pt idx="11">
                  <c:v>网络违法犯罪防治</c:v>
                </c:pt>
                <c:pt idx="12">
                  <c:v>网络平台责任</c:v>
                </c:pt>
                <c:pt idx="13">
                  <c:v>个人信息保护</c:v>
                </c:pt>
              </c:strCache>
            </c:strRef>
          </c:cat>
          <c:val>
            <c:numRef>
              <c:f>[重庆从业人员.xlsx]主问卷!$E$177:$E$190</c:f>
            </c:numRef>
          </c:val>
        </c:ser>
        <c:ser>
          <c:idx val="3"/>
          <c:order val="3"/>
          <c:tx>
            <c:strRef>
              <c:f>[重庆从业人员.xlsx]主问卷!$F$176</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[重庆从业人员.xlsx]主问卷!$B$177:$B$190</c:f>
              <c:strCache>
                <c:ptCount val="14"/>
                <c:pt idx="0">
                  <c:v>其他</c:v>
                </c:pt>
                <c:pt idx="1">
                  <c:v>人工智能管理</c:v>
                </c:pt>
                <c:pt idx="2">
                  <c:v>网络安全从业人员管理</c:v>
                </c:pt>
                <c:pt idx="3">
                  <c:v>数据权利的民事立法</c:v>
                </c:pt>
                <c:pt idx="4">
                  <c:v>网络信息内容治理</c:v>
                </c:pt>
                <c:pt idx="5">
                  <c:v>网络黑灰产业治理</c:v>
                </c:pt>
                <c:pt idx="6">
                  <c:v>数据安全保护</c:v>
                </c:pt>
                <c:pt idx="7">
                  <c:v>网络安全等级保护</c:v>
                </c:pt>
                <c:pt idx="8">
                  <c:v>关键信息基础设施保护</c:v>
                </c:pt>
                <c:pt idx="9">
                  <c:v>网络安全各领域监管</c:v>
                </c:pt>
                <c:pt idx="10">
                  <c:v>未成年人上网保护</c:v>
                </c:pt>
                <c:pt idx="11">
                  <c:v>网络违法犯罪防治</c:v>
                </c:pt>
                <c:pt idx="12">
                  <c:v>网络平台责任</c:v>
                </c:pt>
                <c:pt idx="13">
                  <c:v>个人信息保护</c:v>
                </c:pt>
              </c:strCache>
            </c:strRef>
          </c:cat>
          <c:val>
            <c:numRef>
              <c:f>[重庆从业人员.xlsx]主问卷!$F$177:$F$190</c:f>
              <c:numCache>
                <c:formatCode>0.00%</c:formatCode>
                <c:ptCount val="14"/>
                <c:pt idx="0">
                  <c:v>0.0706</c:v>
                </c:pt>
                <c:pt idx="1">
                  <c:v>0.2636</c:v>
                </c:pt>
                <c:pt idx="2">
                  <c:v>0.303</c:v>
                </c:pt>
                <c:pt idx="3">
                  <c:v>0.3099</c:v>
                </c:pt>
                <c:pt idx="4">
                  <c:v>0.3074</c:v>
                </c:pt>
                <c:pt idx="5">
                  <c:v>0.3209</c:v>
                </c:pt>
                <c:pt idx="6">
                  <c:v>0.3702</c:v>
                </c:pt>
                <c:pt idx="7">
                  <c:v>0.4519</c:v>
                </c:pt>
                <c:pt idx="8">
                  <c:v>0.3878</c:v>
                </c:pt>
                <c:pt idx="9">
                  <c:v>0.4394</c:v>
                </c:pt>
                <c:pt idx="10">
                  <c:v>0.4783</c:v>
                </c:pt>
                <c:pt idx="11">
                  <c:v>0.4595</c:v>
                </c:pt>
                <c:pt idx="12">
                  <c:v>0.6041</c:v>
                </c:pt>
                <c:pt idx="13">
                  <c:v>0.7229</c:v>
                </c:pt>
              </c:numCache>
            </c:numRef>
          </c:val>
        </c:ser>
        <c:dLbls>
          <c:showLegendKey val="0"/>
          <c:showVal val="1"/>
          <c:showCatName val="0"/>
          <c:showSerName val="0"/>
          <c:showPercent val="0"/>
          <c:showBubbleSize val="0"/>
        </c:dLbls>
        <c:gapWidth val="182"/>
        <c:axId val="925485973"/>
        <c:axId val="160989487"/>
      </c:barChart>
      <c:catAx>
        <c:axId val="92548597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0989487"/>
        <c:crosses val="autoZero"/>
        <c:auto val="1"/>
        <c:lblAlgn val="ctr"/>
        <c:lblOffset val="100"/>
        <c:noMultiLvlLbl val="0"/>
      </c:catAx>
      <c:valAx>
        <c:axId val="16098948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4859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网络安全的相关管理部门认知度</a:t>
            </a:r>
            <a:endParaRPr b="1"/>
          </a:p>
        </c:rich>
      </c:tx>
      <c:layout/>
      <c:overlay val="0"/>
      <c:spPr>
        <a:noFill/>
        <a:ln>
          <a:noFill/>
        </a:ln>
        <a:effectLst/>
      </c:spPr>
    </c:title>
    <c:autoTitleDeleted val="0"/>
    <c:plotArea>
      <c:layout/>
      <c:barChart>
        <c:barDir val="bar"/>
        <c:grouping val="clustered"/>
        <c:varyColors val="0"/>
        <c:ser>
          <c:idx val="0"/>
          <c:order val="0"/>
          <c:tx>
            <c:strRef>
              <c:f>[重庆从业人员.xlsx]主问卷!$C$194</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[重庆从业人员.xlsx]主问卷!$B$195:$B$205</c:f>
              <c:strCache>
                <c:ptCount val="11"/>
                <c:pt idx="0">
                  <c:v>网信</c:v>
                </c:pt>
                <c:pt idx="1">
                  <c:v>公安</c:v>
                </c:pt>
                <c:pt idx="2">
                  <c:v>工信</c:v>
                </c:pt>
                <c:pt idx="3">
                  <c:v>国安</c:v>
                </c:pt>
                <c:pt idx="4">
                  <c:v>广电</c:v>
                </c:pt>
                <c:pt idx="5">
                  <c:v>保密</c:v>
                </c:pt>
                <c:pt idx="6">
                  <c:v>市场监管</c:v>
                </c:pt>
                <c:pt idx="7">
                  <c:v>文化</c:v>
                </c:pt>
                <c:pt idx="8">
                  <c:v>密码</c:v>
                </c:pt>
                <c:pt idx="9">
                  <c:v>教育</c:v>
                </c:pt>
                <c:pt idx="10">
                  <c:v>其他</c:v>
                </c:pt>
              </c:strCache>
            </c:strRef>
          </c:cat>
          <c:val>
            <c:numRef>
              <c:f>[重庆从业人员.xlsx]主问卷!$C$195:$C$205</c:f>
            </c:numRef>
          </c:val>
        </c:ser>
        <c:ser>
          <c:idx val="1"/>
          <c:order val="1"/>
          <c:tx>
            <c:strRef>
              <c:f>[重庆从业人员.xlsx]主问卷!$D$194</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[重庆从业人员.xlsx]主问卷!$B$195:$B$205</c:f>
              <c:strCache>
                <c:ptCount val="11"/>
                <c:pt idx="0">
                  <c:v>网信</c:v>
                </c:pt>
                <c:pt idx="1">
                  <c:v>公安</c:v>
                </c:pt>
                <c:pt idx="2">
                  <c:v>工信</c:v>
                </c:pt>
                <c:pt idx="3">
                  <c:v>国安</c:v>
                </c:pt>
                <c:pt idx="4">
                  <c:v>广电</c:v>
                </c:pt>
                <c:pt idx="5">
                  <c:v>保密</c:v>
                </c:pt>
                <c:pt idx="6">
                  <c:v>市场监管</c:v>
                </c:pt>
                <c:pt idx="7">
                  <c:v>文化</c:v>
                </c:pt>
                <c:pt idx="8">
                  <c:v>密码</c:v>
                </c:pt>
                <c:pt idx="9">
                  <c:v>教育</c:v>
                </c:pt>
                <c:pt idx="10">
                  <c:v>其他</c:v>
                </c:pt>
              </c:strCache>
            </c:strRef>
          </c:cat>
          <c:val>
            <c:numRef>
              <c:f>[重庆从业人员.xlsx]主问卷!$D$195:$D$205</c:f>
              <c:numCache>
                <c:formatCode>0.00%</c:formatCode>
                <c:ptCount val="11"/>
                <c:pt idx="0">
                  <c:v>0.8728</c:v>
                </c:pt>
                <c:pt idx="1">
                  <c:v>0.6939</c:v>
                </c:pt>
                <c:pt idx="2">
                  <c:v>0.4634</c:v>
                </c:pt>
                <c:pt idx="3">
                  <c:v>0.4634</c:v>
                </c:pt>
                <c:pt idx="4">
                  <c:v>0.4321</c:v>
                </c:pt>
                <c:pt idx="5">
                  <c:v>0.295</c:v>
                </c:pt>
                <c:pt idx="6">
                  <c:v>0.2643</c:v>
                </c:pt>
                <c:pt idx="7">
                  <c:v>0.2348</c:v>
                </c:pt>
                <c:pt idx="8">
                  <c:v>0.2188</c:v>
                </c:pt>
                <c:pt idx="9">
                  <c:v>0.1616</c:v>
                </c:pt>
                <c:pt idx="10">
                  <c:v>0.0227</c:v>
                </c:pt>
              </c:numCache>
            </c:numRef>
          </c:val>
        </c:ser>
        <c:ser>
          <c:idx val="2"/>
          <c:order val="2"/>
          <c:tx>
            <c:strRef>
              <c:f>[重庆从业人员.xlsx]主问卷!$E$194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[重庆从业人员.xlsx]主问卷!$B$195:$B$205</c:f>
              <c:strCache>
                <c:ptCount val="11"/>
                <c:pt idx="0">
                  <c:v>网信</c:v>
                </c:pt>
                <c:pt idx="1">
                  <c:v>公安</c:v>
                </c:pt>
                <c:pt idx="2">
                  <c:v>工信</c:v>
                </c:pt>
                <c:pt idx="3">
                  <c:v>国安</c:v>
                </c:pt>
                <c:pt idx="4">
                  <c:v>广电</c:v>
                </c:pt>
                <c:pt idx="5">
                  <c:v>保密</c:v>
                </c:pt>
                <c:pt idx="6">
                  <c:v>市场监管</c:v>
                </c:pt>
                <c:pt idx="7">
                  <c:v>文化</c:v>
                </c:pt>
                <c:pt idx="8">
                  <c:v>密码</c:v>
                </c:pt>
                <c:pt idx="9">
                  <c:v>教育</c:v>
                </c:pt>
                <c:pt idx="10">
                  <c:v>其他</c:v>
                </c:pt>
              </c:strCache>
            </c:strRef>
          </c:cat>
          <c:val>
            <c:numRef>
              <c:f>[重庆从业人员.xlsx]主问卷!$E$195:$E$205</c:f>
            </c:numRef>
          </c:val>
        </c:ser>
        <c:ser>
          <c:idx val="3"/>
          <c:order val="3"/>
          <c:tx>
            <c:strRef>
              <c:f>[重庆从业人员.xlsx]主问卷!$F$194</c:f>
              <c:strCache>
                <c:ptCount val="1"/>
                <c:pt idx="0">
                  <c:v>全国占比</c:v>
                </c:pt>
              </c:strCache>
            </c:strRef>
          </c:tx>
          <c:spPr>
            <a:solidFill>
              <a:schemeClr val="accent4"/>
            </a:solidFill>
            <a:ln>
              <a:noFill/>
            </a:ln>
            <a:effectLst/>
          </c:spPr>
          <c:invertIfNegative val="0"/>
          <c:dLbls>
            <c:dLbl>
              <c:idx val="2"/>
              <c:layout>
                <c:manualLayout>
                  <c:x val="0.0033157313029596"/>
                  <c:y val="-0.008893919793014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71926808301609"/>
                  <c:y val="-0.0043661060802069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343853616603217"/>
                  <c:y val="-0.01552393272962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159646321994351"/>
                  <c:y val="-0.008893919793014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33157313029596"/>
                  <c:y val="-0.004527813712807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835073068893528"/>
                  <c:y val="-0.017626131953428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835073068893528"/>
                  <c:y val="-0.01972833117723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167014613778706"/>
                  <c:y val="-0.008732212160413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[重庆从业人员.xlsx]主问卷!$B$195:$B$205</c:f>
              <c:strCache>
                <c:ptCount val="11"/>
                <c:pt idx="0">
                  <c:v>网信</c:v>
                </c:pt>
                <c:pt idx="1">
                  <c:v>公安</c:v>
                </c:pt>
                <c:pt idx="2">
                  <c:v>工信</c:v>
                </c:pt>
                <c:pt idx="3">
                  <c:v>国安</c:v>
                </c:pt>
                <c:pt idx="4">
                  <c:v>广电</c:v>
                </c:pt>
                <c:pt idx="5">
                  <c:v>保密</c:v>
                </c:pt>
                <c:pt idx="6">
                  <c:v>市场监管</c:v>
                </c:pt>
                <c:pt idx="7">
                  <c:v>文化</c:v>
                </c:pt>
                <c:pt idx="8">
                  <c:v>密码</c:v>
                </c:pt>
                <c:pt idx="9">
                  <c:v>教育</c:v>
                </c:pt>
                <c:pt idx="10">
                  <c:v>其他</c:v>
                </c:pt>
              </c:strCache>
            </c:strRef>
          </c:cat>
          <c:val>
            <c:numRef>
              <c:f>[重庆从业人员.xlsx]主问卷!$F$195:$F$205</c:f>
              <c:numCache>
                <c:formatCode>0.00%</c:formatCode>
                <c:ptCount val="11"/>
                <c:pt idx="0">
                  <c:v>0.7377</c:v>
                </c:pt>
                <c:pt idx="1">
                  <c:v>0.7135</c:v>
                </c:pt>
                <c:pt idx="2">
                  <c:v>0.4337</c:v>
                </c:pt>
                <c:pt idx="3">
                  <c:v>0.443</c:v>
                </c:pt>
                <c:pt idx="4">
                  <c:v>0.2462</c:v>
                </c:pt>
                <c:pt idx="5">
                  <c:v>0.3292</c:v>
                </c:pt>
                <c:pt idx="6">
                  <c:v>0.2697</c:v>
                </c:pt>
                <c:pt idx="7">
                  <c:v>0.2015</c:v>
                </c:pt>
                <c:pt idx="8">
                  <c:v>0.2423</c:v>
                </c:pt>
                <c:pt idx="9">
                  <c:v>0.2136</c:v>
                </c:pt>
                <c:pt idx="10">
                  <c:v>0.0637</c:v>
                </c:pt>
              </c:numCache>
            </c:numRef>
          </c:val>
        </c:ser>
        <c:dLbls>
          <c:showLegendKey val="0"/>
          <c:showVal val="1"/>
          <c:showCatName val="0"/>
          <c:showSerName val="0"/>
          <c:showPercent val="0"/>
          <c:showBubbleSize val="0"/>
        </c:dLbls>
        <c:gapWidth val="182"/>
        <c:axId val="900024649"/>
        <c:axId val="102844276"/>
      </c:barChart>
      <c:catAx>
        <c:axId val="90002464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844276"/>
        <c:crosses val="autoZero"/>
        <c:auto val="1"/>
        <c:lblAlgn val="ctr"/>
        <c:lblOffset val="100"/>
        <c:noMultiLvlLbl val="0"/>
      </c:catAx>
      <c:valAx>
        <c:axId val="10284427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002464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网民年龄分布图</a:t>
            </a:r>
            <a:endParaRPr lang="zh-CN" altLang="en-US" b="1"/>
          </a:p>
        </c:rich>
      </c:tx>
      <c:layout/>
      <c:overlay val="0"/>
      <c:spPr>
        <a:noFill/>
        <a:ln>
          <a:noFill/>
        </a:ln>
        <a:effectLst/>
      </c:spPr>
    </c:title>
    <c:autoTitleDeleted val="0"/>
    <c:plotArea>
      <c:layout/>
      <c:barChart>
        <c:barDir val="col"/>
        <c:grouping val="clustered"/>
        <c:varyColors val="0"/>
        <c:ser>
          <c:idx val="0"/>
          <c:order val="0"/>
          <c:tx>
            <c:strRef>
              <c:f>[重庆从业人员.xlsx]主问卷!$C$10</c:f>
              <c:strCache>
                <c:ptCount val="1"/>
                <c:pt idx="0">
                  <c:v>重庆数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[重庆从业人员.xlsx]主问卷!$B$11:$B$17</c:f>
              <c:strCache>
                <c:ptCount val="7"/>
                <c:pt idx="0">
                  <c:v>12岁以下</c:v>
                </c:pt>
                <c:pt idx="1">
                  <c:v>12-18岁</c:v>
                </c:pt>
                <c:pt idx="2">
                  <c:v>19-24岁</c:v>
                </c:pt>
                <c:pt idx="3">
                  <c:v>25-30岁</c:v>
                </c:pt>
                <c:pt idx="4">
                  <c:v>31-45岁</c:v>
                </c:pt>
                <c:pt idx="5">
                  <c:v>46-60岁</c:v>
                </c:pt>
                <c:pt idx="6">
                  <c:v>61岁以上</c:v>
                </c:pt>
              </c:strCache>
            </c:strRef>
          </c:cat>
          <c:val>
            <c:numRef>
              <c:f>[重庆从业人员.xlsx]主问卷!$C$11:$C$17</c:f>
            </c:numRef>
          </c:val>
        </c:ser>
        <c:ser>
          <c:idx val="1"/>
          <c:order val="1"/>
          <c:tx>
            <c:strRef>
              <c:f>[重庆从业人员.xlsx]主问卷!$D$10</c:f>
              <c:strCache>
                <c:ptCount val="1"/>
                <c:pt idx="0">
                  <c:v>从业人员</c:v>
                </c:pt>
              </c:strCache>
            </c:strRef>
          </c:tx>
          <c:spPr>
            <a:solidFill>
              <a:schemeClr val="accent2"/>
            </a:solidFill>
            <a:ln>
              <a:noFill/>
            </a:ln>
            <a:effectLst/>
          </c:spPr>
          <c:invertIfNegative val="0"/>
          <c:dLbls>
            <c:dLbl>
              <c:idx val="1"/>
              <c:layout>
                <c:manualLayout>
                  <c:x val="-0.00970873786407767"/>
                  <c:y val="-0.01607466943220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4498381877022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815533980582524"/>
                  <c:y val="-0.03889032927145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035519834067928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0.04226082447498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[重庆从业人员.xlsx]主问卷!$B$11:$B$17</c:f>
              <c:strCache>
                <c:ptCount val="7"/>
                <c:pt idx="0">
                  <c:v>12岁以下</c:v>
                </c:pt>
                <c:pt idx="1">
                  <c:v>12-18岁</c:v>
                </c:pt>
                <c:pt idx="2">
                  <c:v>19-24岁</c:v>
                </c:pt>
                <c:pt idx="3">
                  <c:v>25-30岁</c:v>
                </c:pt>
                <c:pt idx="4">
                  <c:v>31-45岁</c:v>
                </c:pt>
                <c:pt idx="5">
                  <c:v>46-60岁</c:v>
                </c:pt>
                <c:pt idx="6">
                  <c:v>61岁以上</c:v>
                </c:pt>
              </c:strCache>
            </c:strRef>
          </c:cat>
          <c:val>
            <c:numRef>
              <c:f>[重庆从业人员.xlsx]主问卷!$D$11:$D$17</c:f>
              <c:numCache>
                <c:formatCode>0.00%</c:formatCode>
                <c:ptCount val="7"/>
                <c:pt idx="0">
                  <c:v>0.0031</c:v>
                </c:pt>
                <c:pt idx="1">
                  <c:v>0.0467</c:v>
                </c:pt>
                <c:pt idx="2">
                  <c:v>0.3079</c:v>
                </c:pt>
                <c:pt idx="3">
                  <c:v>0.3755</c:v>
                </c:pt>
                <c:pt idx="4">
                  <c:v>0.2139</c:v>
                </c:pt>
                <c:pt idx="5">
                  <c:v>0.0443</c:v>
                </c:pt>
                <c:pt idx="6">
                  <c:v>0.0086</c:v>
                </c:pt>
              </c:numCache>
            </c:numRef>
          </c:val>
        </c:ser>
        <c:ser>
          <c:idx val="2"/>
          <c:order val="2"/>
          <c:tx>
            <c:strRef>
              <c:f>[重庆从业人员.xlsx]主问卷!$E$10</c:f>
              <c:strCache>
                <c:ptCount val="1"/>
                <c:pt idx="0">
                  <c:v>全国数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[重庆从业人员.xlsx]主问卷!$B$11:$B$17</c:f>
              <c:strCache>
                <c:ptCount val="7"/>
                <c:pt idx="0">
                  <c:v>12岁以下</c:v>
                </c:pt>
                <c:pt idx="1">
                  <c:v>12-18岁</c:v>
                </c:pt>
                <c:pt idx="2">
                  <c:v>19-24岁</c:v>
                </c:pt>
                <c:pt idx="3">
                  <c:v>25-30岁</c:v>
                </c:pt>
                <c:pt idx="4">
                  <c:v>31-45岁</c:v>
                </c:pt>
                <c:pt idx="5">
                  <c:v>46-60岁</c:v>
                </c:pt>
                <c:pt idx="6">
                  <c:v>61岁以上</c:v>
                </c:pt>
              </c:strCache>
            </c:strRef>
          </c:cat>
          <c:val>
            <c:numRef>
              <c:f>[重庆从业人员.xlsx]主问卷!$E$11:$E$17</c:f>
            </c:numRef>
          </c:val>
        </c:ser>
        <c:ser>
          <c:idx val="3"/>
          <c:order val="3"/>
          <c:tx>
            <c:strRef>
              <c:f>[重庆从业人员.xlsx]主问卷!$F$10</c:f>
              <c:strCache>
                <c:ptCount val="1"/>
                <c:pt idx="0">
                  <c:v>公众网民</c:v>
                </c:pt>
              </c:strCache>
            </c:strRef>
          </c:tx>
          <c:spPr>
            <a:solidFill>
              <a:schemeClr val="accent4"/>
            </a:solidFill>
            <a:ln>
              <a:noFill/>
            </a:ln>
            <a:effectLst/>
          </c:spPr>
          <c:invertIfNegative val="0"/>
          <c:dLbls>
            <c:dLbl>
              <c:idx val="0"/>
              <c:layout>
                <c:manualLayout>
                  <c:x val="0.00323624595469256"/>
                  <c:y val="-0.04200155561317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61812297734628"/>
                  <c:y val="-0.02281565983925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[重庆从业人员.xlsx]主问卷!$B$11:$B$17</c:f>
              <c:strCache>
                <c:ptCount val="7"/>
                <c:pt idx="0">
                  <c:v>12岁以下</c:v>
                </c:pt>
                <c:pt idx="1">
                  <c:v>12-18岁</c:v>
                </c:pt>
                <c:pt idx="2">
                  <c:v>19-24岁</c:v>
                </c:pt>
                <c:pt idx="3">
                  <c:v>25-30岁</c:v>
                </c:pt>
                <c:pt idx="4">
                  <c:v>31-45岁</c:v>
                </c:pt>
                <c:pt idx="5">
                  <c:v>46-60岁</c:v>
                </c:pt>
                <c:pt idx="6">
                  <c:v>61岁以上</c:v>
                </c:pt>
              </c:strCache>
            </c:strRef>
          </c:cat>
          <c:val>
            <c:numRef>
              <c:f>[重庆从业人员.xlsx]主问卷!$F$11:$F$17</c:f>
              <c:numCache>
                <c:formatCode>0.00%</c:formatCode>
                <c:ptCount val="7"/>
                <c:pt idx="0">
                  <c:v>0.0102</c:v>
                </c:pt>
                <c:pt idx="1">
                  <c:v>0.1033</c:v>
                </c:pt>
                <c:pt idx="2">
                  <c:v>0.3687</c:v>
                </c:pt>
                <c:pt idx="3">
                  <c:v>0.2747</c:v>
                </c:pt>
                <c:pt idx="4">
                  <c:v>0.1987</c:v>
                </c:pt>
                <c:pt idx="5">
                  <c:v>0.0355</c:v>
                </c:pt>
                <c:pt idx="6">
                  <c:v>0.0089</c:v>
                </c:pt>
              </c:numCache>
            </c:numRef>
          </c:val>
        </c:ser>
        <c:dLbls>
          <c:showLegendKey val="0"/>
          <c:showVal val="1"/>
          <c:showCatName val="0"/>
          <c:showSerName val="0"/>
          <c:showPercent val="0"/>
          <c:showBubbleSize val="0"/>
        </c:dLbls>
        <c:gapWidth val="219"/>
        <c:overlap val="-27"/>
        <c:axId val="526742304"/>
        <c:axId val="526741912"/>
      </c:barChart>
      <c:catAx>
        <c:axId val="5267423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6741912"/>
        <c:crosses val="autoZero"/>
        <c:auto val="1"/>
        <c:lblAlgn val="ctr"/>
        <c:lblOffset val="100"/>
        <c:noMultiLvlLbl val="0"/>
      </c:catAx>
      <c:valAx>
        <c:axId val="5267419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67423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政府部门对网络安全监管力度评价</a:t>
            </a:r>
            <a:endParaRPr b="1"/>
          </a:p>
        </c:rich>
      </c:tx>
      <c:layout/>
      <c:overlay val="0"/>
      <c:spPr>
        <a:noFill/>
        <a:ln>
          <a:noFill/>
        </a:ln>
        <a:effectLst/>
      </c:spPr>
    </c:title>
    <c:autoTitleDeleted val="0"/>
    <c:plotArea>
      <c:layout/>
      <c:barChart>
        <c:barDir val="col"/>
        <c:grouping val="clustered"/>
        <c:varyColors val="0"/>
        <c:ser>
          <c:idx val="0"/>
          <c:order val="0"/>
          <c:tx>
            <c:strRef>
              <c:f>[重庆从业人员.xlsx]主问卷!$C$209</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[重庆从业人员.xlsx]主问卷!$B$210:$B$214</c:f>
              <c:strCache>
                <c:ptCount val="5"/>
                <c:pt idx="0">
                  <c:v>非常强</c:v>
                </c:pt>
                <c:pt idx="1">
                  <c:v>比较强</c:v>
                </c:pt>
                <c:pt idx="2">
                  <c:v>一般</c:v>
                </c:pt>
                <c:pt idx="3">
                  <c:v>比较不足</c:v>
                </c:pt>
                <c:pt idx="4">
                  <c:v>严重不足</c:v>
                </c:pt>
              </c:strCache>
            </c:strRef>
          </c:cat>
          <c:val>
            <c:numRef>
              <c:f>[重庆从业人员.xlsx]主问卷!$C$210:$C$214</c:f>
            </c:numRef>
          </c:val>
        </c:ser>
        <c:ser>
          <c:idx val="1"/>
          <c:order val="1"/>
          <c:tx>
            <c:strRef>
              <c:f>[重庆从业人员.xlsx]主问卷!$D$209</c:f>
              <c:strCache>
                <c:ptCount val="1"/>
                <c:pt idx="0">
                  <c:v>重庆占比</c:v>
                </c:pt>
              </c:strCache>
            </c:strRef>
          </c:tx>
          <c:spPr>
            <a:solidFill>
              <a:schemeClr val="accent2"/>
            </a:solidFill>
            <a:ln>
              <a:noFill/>
            </a:ln>
            <a:effectLst/>
          </c:spPr>
          <c:invertIfNegative val="0"/>
          <c:dLbls>
            <c:dLbl>
              <c:idx val="2"/>
              <c:layout>
                <c:manualLayout>
                  <c:x val="-0.00655658086449733"/>
                  <c:y val="-0.010454286257365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57843613404565"/>
                  <c:y val="-0.02337958563010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27829043224866"/>
                  <c:y val="-0.01824748146740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[重庆从业人员.xlsx]主问卷!$B$210:$B$214</c:f>
              <c:strCache>
                <c:ptCount val="5"/>
                <c:pt idx="0">
                  <c:v>非常强</c:v>
                </c:pt>
                <c:pt idx="1">
                  <c:v>比较强</c:v>
                </c:pt>
                <c:pt idx="2">
                  <c:v>一般</c:v>
                </c:pt>
                <c:pt idx="3">
                  <c:v>比较不足</c:v>
                </c:pt>
                <c:pt idx="4">
                  <c:v>严重不足</c:v>
                </c:pt>
              </c:strCache>
            </c:strRef>
          </c:cat>
          <c:val>
            <c:numRef>
              <c:f>[重庆从业人员.xlsx]主问卷!$D$210:$D$214</c:f>
              <c:numCache>
                <c:formatCode>0.00%</c:formatCode>
                <c:ptCount val="5"/>
                <c:pt idx="0">
                  <c:v>0.1598</c:v>
                </c:pt>
                <c:pt idx="1">
                  <c:v>0.421</c:v>
                </c:pt>
                <c:pt idx="2">
                  <c:v>0.3098</c:v>
                </c:pt>
                <c:pt idx="3">
                  <c:v>0.0695</c:v>
                </c:pt>
                <c:pt idx="4">
                  <c:v>0.04</c:v>
                </c:pt>
              </c:numCache>
            </c:numRef>
          </c:val>
        </c:ser>
        <c:ser>
          <c:idx val="2"/>
          <c:order val="2"/>
          <c:tx>
            <c:strRef>
              <c:f>[重庆从业人员.xlsx]主问卷!$E$209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[重庆从业人员.xlsx]主问卷!$B$210:$B$214</c:f>
              <c:strCache>
                <c:ptCount val="5"/>
                <c:pt idx="0">
                  <c:v>非常强</c:v>
                </c:pt>
                <c:pt idx="1">
                  <c:v>比较强</c:v>
                </c:pt>
                <c:pt idx="2">
                  <c:v>一般</c:v>
                </c:pt>
                <c:pt idx="3">
                  <c:v>比较不足</c:v>
                </c:pt>
                <c:pt idx="4">
                  <c:v>严重不足</c:v>
                </c:pt>
              </c:strCache>
            </c:strRef>
          </c:cat>
          <c:val>
            <c:numRef>
              <c:f>[重庆从业人员.xlsx]主问卷!$E$210:$E$214</c:f>
            </c:numRef>
          </c:val>
        </c:ser>
        <c:ser>
          <c:idx val="3"/>
          <c:order val="3"/>
          <c:tx>
            <c:strRef>
              <c:f>[重庆从业人员.xlsx]主问卷!$F$209</c:f>
              <c:strCache>
                <c:ptCount val="1"/>
                <c:pt idx="0">
                  <c:v>全国占比</c:v>
                </c:pt>
              </c:strCache>
            </c:strRef>
          </c:tx>
          <c:spPr>
            <a:solidFill>
              <a:schemeClr val="accent4"/>
            </a:solidFill>
            <a:ln>
              <a:noFill/>
            </a:ln>
            <a:effectLst/>
          </c:spPr>
          <c:invertIfNegative val="0"/>
          <c:dLbls>
            <c:dLbl>
              <c:idx val="0"/>
              <c:layout>
                <c:manualLayout>
                  <c:x val="0.0083778533268577"/>
                  <c:y val="-0.01558639042007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65128703254007"/>
                  <c:y val="-0.01311537730469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[重庆从业人员.xlsx]主问卷!$B$210:$B$214</c:f>
              <c:strCache>
                <c:ptCount val="5"/>
                <c:pt idx="0">
                  <c:v>非常强</c:v>
                </c:pt>
                <c:pt idx="1">
                  <c:v>比较强</c:v>
                </c:pt>
                <c:pt idx="2">
                  <c:v>一般</c:v>
                </c:pt>
                <c:pt idx="3">
                  <c:v>比较不足</c:v>
                </c:pt>
                <c:pt idx="4">
                  <c:v>严重不足</c:v>
                </c:pt>
              </c:strCache>
            </c:strRef>
          </c:cat>
          <c:val>
            <c:numRef>
              <c:f>[重庆从业人员.xlsx]主问卷!$F$210:$F$214</c:f>
              <c:numCache>
                <c:formatCode>0.00%</c:formatCode>
                <c:ptCount val="5"/>
                <c:pt idx="0">
                  <c:v>0.1834</c:v>
                </c:pt>
                <c:pt idx="1">
                  <c:v>0.3664</c:v>
                </c:pt>
                <c:pt idx="2">
                  <c:v>0.364</c:v>
                </c:pt>
                <c:pt idx="3">
                  <c:v>0.054</c:v>
                </c:pt>
                <c:pt idx="4">
                  <c:v>0.0322</c:v>
                </c:pt>
              </c:numCache>
            </c:numRef>
          </c:val>
        </c:ser>
        <c:dLbls>
          <c:showLegendKey val="0"/>
          <c:showVal val="1"/>
          <c:showCatName val="0"/>
          <c:showSerName val="0"/>
          <c:showPercent val="0"/>
          <c:showBubbleSize val="0"/>
        </c:dLbls>
        <c:gapWidth val="219"/>
        <c:overlap val="-27"/>
        <c:axId val="980751862"/>
        <c:axId val="589923150"/>
      </c:barChart>
      <c:catAx>
        <c:axId val="98075186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9923150"/>
        <c:crosses val="autoZero"/>
        <c:auto val="1"/>
        <c:lblAlgn val="ctr"/>
        <c:lblOffset val="100"/>
        <c:noMultiLvlLbl val="0"/>
      </c:catAx>
      <c:valAx>
        <c:axId val="58992315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075186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全国从业人员所在行业占比</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全国从业专题A!$B$7</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全国从业专题A!$A$8:$A$22</c:f>
              <c:strCache>
                <c:ptCount val="15"/>
                <c:pt idx="0">
                  <c:v>供水环境等公共事业</c:v>
                </c:pt>
                <c:pt idx="1">
                  <c:v>科研机构和咨询服务业</c:v>
                </c:pt>
                <c:pt idx="2">
                  <c:v>社会组织和行业协会</c:v>
                </c:pt>
                <c:pt idx="3">
                  <c:v>建筑业和房地产</c:v>
                </c:pt>
                <c:pt idx="4">
                  <c:v>金融业</c:v>
                </c:pt>
                <c:pt idx="5">
                  <c:v>媒体、文化、体育和娱乐业</c:v>
                </c:pt>
                <c:pt idx="6">
                  <c:v>商业服务业</c:v>
                </c:pt>
                <c:pt idx="7">
                  <c:v>交通运输</c:v>
                </c:pt>
                <c:pt idx="8">
                  <c:v>电力能源</c:v>
                </c:pt>
                <c:pt idx="9">
                  <c:v>农、林、牧、渔业</c:v>
                </c:pt>
                <c:pt idx="10">
                  <c:v>制造业</c:v>
                </c:pt>
                <c:pt idx="11">
                  <c:v>卫生医疗</c:v>
                </c:pt>
                <c:pt idx="12">
                  <c:v>教育</c:v>
                </c:pt>
                <c:pt idx="13">
                  <c:v>政府部门</c:v>
                </c:pt>
                <c:pt idx="14">
                  <c:v>互联网平台、通信及信息技术服务业</c:v>
                </c:pt>
              </c:strCache>
            </c:strRef>
          </c:cat>
          <c:val>
            <c:numRef>
              <c:f>全国从业专题A!$B$8:$B$22</c:f>
              <c:numCache>
                <c:formatCode>0.00%</c:formatCode>
                <c:ptCount val="15"/>
                <c:pt idx="0">
                  <c:v>0.0075</c:v>
                </c:pt>
                <c:pt idx="1">
                  <c:v>0.0077</c:v>
                </c:pt>
                <c:pt idx="2">
                  <c:v>0.019</c:v>
                </c:pt>
                <c:pt idx="3">
                  <c:v>0.0222</c:v>
                </c:pt>
                <c:pt idx="4">
                  <c:v>0.0286</c:v>
                </c:pt>
                <c:pt idx="5">
                  <c:v>0.0405</c:v>
                </c:pt>
                <c:pt idx="6">
                  <c:v>0.0417</c:v>
                </c:pt>
                <c:pt idx="7">
                  <c:v>0.0451</c:v>
                </c:pt>
                <c:pt idx="8">
                  <c:v>0.0453</c:v>
                </c:pt>
                <c:pt idx="9">
                  <c:v>0.0632</c:v>
                </c:pt>
                <c:pt idx="10">
                  <c:v>0.0635</c:v>
                </c:pt>
                <c:pt idx="11">
                  <c:v>0.0664</c:v>
                </c:pt>
                <c:pt idx="12">
                  <c:v>0.085</c:v>
                </c:pt>
                <c:pt idx="13">
                  <c:v>0.1424</c:v>
                </c:pt>
                <c:pt idx="14">
                  <c:v>0.321</c:v>
                </c:pt>
              </c:numCache>
            </c:numRef>
          </c:val>
        </c:ser>
        <c:dLbls>
          <c:showLegendKey val="0"/>
          <c:showVal val="1"/>
          <c:showCatName val="0"/>
          <c:showSerName val="0"/>
          <c:showPercent val="0"/>
          <c:showBubbleSize val="0"/>
        </c:dLbls>
        <c:gapWidth val="182"/>
        <c:axId val="339400880"/>
        <c:axId val="339401272"/>
      </c:barChart>
      <c:catAx>
        <c:axId val="339400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401272"/>
        <c:crosses val="autoZero"/>
        <c:auto val="1"/>
        <c:lblAlgn val="ctr"/>
        <c:lblOffset val="100"/>
        <c:noMultiLvlLbl val="0"/>
      </c:catAx>
      <c:valAx>
        <c:axId val="33940127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400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所在行业对等级保护工作指导现状</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全国从业专题A!$B$24</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全国从业专题A!$A$25:$A$28</c:f>
              <c:strCache>
                <c:ptCount val="4"/>
                <c:pt idx="0">
                  <c:v>有，明确细致</c:v>
                </c:pt>
                <c:pt idx="1">
                  <c:v>有，但较为简单</c:v>
                </c:pt>
                <c:pt idx="2">
                  <c:v>没有</c:v>
                </c:pt>
                <c:pt idx="3">
                  <c:v>不知道</c:v>
                </c:pt>
              </c:strCache>
            </c:strRef>
          </c:cat>
          <c:val>
            <c:numRef>
              <c:f>全国从业专题A!$B$25:$B$28</c:f>
              <c:numCache>
                <c:formatCode>0.00%</c:formatCode>
                <c:ptCount val="4"/>
                <c:pt idx="0">
                  <c:v>0.418</c:v>
                </c:pt>
                <c:pt idx="1">
                  <c:v>0.3633</c:v>
                </c:pt>
                <c:pt idx="2">
                  <c:v>0.1467</c:v>
                </c:pt>
                <c:pt idx="3">
                  <c:v>0.0718</c:v>
                </c:pt>
              </c:numCache>
            </c:numRef>
          </c:val>
        </c:ser>
        <c:dLbls>
          <c:showLegendKey val="0"/>
          <c:showVal val="1"/>
          <c:showCatName val="0"/>
          <c:showSerName val="0"/>
          <c:showPercent val="0"/>
          <c:showBubbleSize val="0"/>
        </c:dLbls>
        <c:gapWidth val="219"/>
        <c:overlap val="-27"/>
        <c:axId val="339402056"/>
        <c:axId val="339402448"/>
      </c:barChart>
      <c:catAx>
        <c:axId val="339402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402448"/>
        <c:crosses val="autoZero"/>
        <c:auto val="1"/>
        <c:lblAlgn val="ctr"/>
        <c:lblOffset val="100"/>
        <c:noMultiLvlLbl val="0"/>
      </c:catAx>
      <c:valAx>
        <c:axId val="3394024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402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网络安全对单位重要性认识</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全国从业专题A!$B$30</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全国从业专题A!$A$31:$A$35</c:f>
              <c:strCache>
                <c:ptCount val="5"/>
                <c:pt idx="0">
                  <c:v>非常重要</c:v>
                </c:pt>
                <c:pt idx="1">
                  <c:v>重要</c:v>
                </c:pt>
                <c:pt idx="2">
                  <c:v>一般</c:v>
                </c:pt>
                <c:pt idx="3">
                  <c:v>不重要</c:v>
                </c:pt>
                <c:pt idx="4">
                  <c:v>完全不重要</c:v>
                </c:pt>
              </c:strCache>
            </c:strRef>
          </c:cat>
          <c:val>
            <c:numRef>
              <c:f>全国从业专题A!$B$31:$B$35</c:f>
              <c:numCache>
                <c:formatCode>0.00%</c:formatCode>
                <c:ptCount val="5"/>
                <c:pt idx="0">
                  <c:v>0.6717</c:v>
                </c:pt>
                <c:pt idx="1">
                  <c:v>0.2594</c:v>
                </c:pt>
                <c:pt idx="2">
                  <c:v>0.0558</c:v>
                </c:pt>
                <c:pt idx="3">
                  <c:v>0.0083</c:v>
                </c:pt>
                <c:pt idx="4">
                  <c:v>0.0046</c:v>
                </c:pt>
              </c:numCache>
            </c:numRef>
          </c:val>
        </c:ser>
        <c:dLbls>
          <c:showLegendKey val="0"/>
          <c:showVal val="1"/>
          <c:showCatName val="0"/>
          <c:showSerName val="0"/>
          <c:showPercent val="0"/>
          <c:showBubbleSize val="0"/>
        </c:dLbls>
        <c:gapWidth val="219"/>
        <c:overlap val="-27"/>
        <c:axId val="350327456"/>
        <c:axId val="350327848"/>
      </c:barChart>
      <c:catAx>
        <c:axId val="350327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327848"/>
        <c:crosses val="autoZero"/>
        <c:auto val="1"/>
        <c:lblAlgn val="ctr"/>
        <c:lblOffset val="100"/>
        <c:noMultiLvlLbl val="0"/>
      </c:catAx>
      <c:valAx>
        <c:axId val="3503278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327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所在单位安全管理状况的了解</a:t>
            </a:r>
            <a:endParaRPr lang="zh-CN" altLang="en-US"/>
          </a:p>
        </c:rich>
      </c:tx>
      <c:layout/>
      <c:overlay val="0"/>
      <c:spPr>
        <a:noFill/>
        <a:ln>
          <a:noFill/>
        </a:ln>
        <a:effectLst/>
      </c:spPr>
    </c:title>
    <c:autoTitleDeleted val="0"/>
    <c:plotArea>
      <c:layout/>
      <c:pieChart>
        <c:varyColors val="1"/>
        <c:ser>
          <c:idx val="0"/>
          <c:order val="0"/>
          <c:tx>
            <c:strRef>
              <c:f>全国从业专题A!$B$37</c:f>
              <c:strCache>
                <c:ptCount val="1"/>
                <c:pt idx="0">
                  <c:v>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2"/>
              <c:layout>
                <c:manualLayout>
                  <c:x val="0.00833333333333333"/>
                  <c:y val="0.0324074074074074"/>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全国从业专题A!$A$38:$A$40</c:f>
              <c:strCache>
                <c:ptCount val="3"/>
                <c:pt idx="0">
                  <c:v>非常了解</c:v>
                </c:pt>
                <c:pt idx="1">
                  <c:v>大概知道</c:v>
                </c:pt>
                <c:pt idx="2">
                  <c:v>完全不清楚</c:v>
                </c:pt>
              </c:strCache>
            </c:strRef>
          </c:cat>
          <c:val>
            <c:numRef>
              <c:f>全国从业专题A!$B$38:$B$40</c:f>
              <c:numCache>
                <c:formatCode>0.00%</c:formatCode>
                <c:ptCount val="3"/>
                <c:pt idx="0">
                  <c:v>0.3464</c:v>
                </c:pt>
                <c:pt idx="1">
                  <c:v>0.5646</c:v>
                </c:pt>
                <c:pt idx="2">
                  <c:v>0.0889</c:v>
                </c:pt>
              </c:numCache>
            </c:numRef>
          </c:val>
        </c:ser>
        <c:dLbls>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所在单位网络安全管理状况满意度评价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全国从业专题A!$B$42</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全国从业专题A!$A$43:$A$47</c:f>
              <c:strCache>
                <c:ptCount val="5"/>
                <c:pt idx="0">
                  <c:v>非常满意</c:v>
                </c:pt>
                <c:pt idx="1">
                  <c:v>满意</c:v>
                </c:pt>
                <c:pt idx="2">
                  <c:v>一般</c:v>
                </c:pt>
                <c:pt idx="3">
                  <c:v>不满意</c:v>
                </c:pt>
                <c:pt idx="4">
                  <c:v>非常不满意</c:v>
                </c:pt>
              </c:strCache>
            </c:strRef>
          </c:cat>
          <c:val>
            <c:numRef>
              <c:f>全国从业专题A!$B$43:$B$47</c:f>
              <c:numCache>
                <c:formatCode>0.00%</c:formatCode>
                <c:ptCount val="5"/>
                <c:pt idx="0">
                  <c:v>0.2629</c:v>
                </c:pt>
                <c:pt idx="1">
                  <c:v>0.4528</c:v>
                </c:pt>
                <c:pt idx="2">
                  <c:v>0.2392</c:v>
                </c:pt>
                <c:pt idx="3">
                  <c:v>0.0356</c:v>
                </c:pt>
                <c:pt idx="4">
                  <c:v>0.0092</c:v>
                </c:pt>
              </c:numCache>
            </c:numRef>
          </c:val>
        </c:ser>
        <c:dLbls>
          <c:showLegendKey val="0"/>
          <c:showVal val="1"/>
          <c:showCatName val="0"/>
          <c:showSerName val="0"/>
          <c:showPercent val="0"/>
          <c:showBubbleSize val="0"/>
        </c:dLbls>
        <c:gapWidth val="219"/>
        <c:overlap val="-27"/>
        <c:axId val="350329024"/>
        <c:axId val="350329416"/>
      </c:barChart>
      <c:catAx>
        <c:axId val="350329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329416"/>
        <c:crosses val="autoZero"/>
        <c:auto val="1"/>
        <c:lblAlgn val="ctr"/>
        <c:lblOffset val="100"/>
        <c:noMultiLvlLbl val="0"/>
      </c:catAx>
      <c:valAx>
        <c:axId val="3503294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329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所在单位的网络安全管理需要改善的地方</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全国从业专题A!$B$49</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全国从业专题A!$A$50:$A$58</c:f>
              <c:strCache>
                <c:ptCount val="9"/>
                <c:pt idx="0">
                  <c:v>应急演练</c:v>
                </c:pt>
                <c:pt idx="1">
                  <c:v>贯彻落实</c:v>
                </c:pt>
                <c:pt idx="2">
                  <c:v>经费预算</c:v>
                </c:pt>
                <c:pt idx="3">
                  <c:v>监测评估</c:v>
                </c:pt>
                <c:pt idx="4">
                  <c:v>标准规范</c:v>
                </c:pt>
                <c:pt idx="5">
                  <c:v>安全运维能力</c:v>
                </c:pt>
                <c:pt idx="6">
                  <c:v>人才队伍</c:v>
                </c:pt>
                <c:pt idx="7">
                  <c:v>规章制度</c:v>
                </c:pt>
                <c:pt idx="8">
                  <c:v>管理层网络安全意识</c:v>
                </c:pt>
              </c:strCache>
            </c:strRef>
          </c:cat>
          <c:val>
            <c:numRef>
              <c:f>全国从业专题A!$B$50:$B$58</c:f>
              <c:numCache>
                <c:formatCode>0.00%</c:formatCode>
                <c:ptCount val="9"/>
                <c:pt idx="0">
                  <c:v>0.3721</c:v>
                </c:pt>
                <c:pt idx="1">
                  <c:v>0.4901</c:v>
                </c:pt>
                <c:pt idx="2">
                  <c:v>0.5033</c:v>
                </c:pt>
                <c:pt idx="3">
                  <c:v>0.5209</c:v>
                </c:pt>
                <c:pt idx="4">
                  <c:v>0.5225</c:v>
                </c:pt>
                <c:pt idx="5">
                  <c:v>0.5228</c:v>
                </c:pt>
                <c:pt idx="6">
                  <c:v>0.5883</c:v>
                </c:pt>
                <c:pt idx="7">
                  <c:v>0.5929</c:v>
                </c:pt>
                <c:pt idx="8">
                  <c:v>0.6302</c:v>
                </c:pt>
              </c:numCache>
            </c:numRef>
          </c:val>
        </c:ser>
        <c:dLbls>
          <c:showLegendKey val="0"/>
          <c:showVal val="1"/>
          <c:showCatName val="0"/>
          <c:showSerName val="0"/>
          <c:showPercent val="0"/>
          <c:showBubbleSize val="0"/>
        </c:dLbls>
        <c:gapWidth val="182"/>
        <c:axId val="350330200"/>
        <c:axId val="350330592"/>
      </c:barChart>
      <c:catAx>
        <c:axId val="350330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330592"/>
        <c:crosses val="autoZero"/>
        <c:auto val="1"/>
        <c:lblAlgn val="ctr"/>
        <c:lblOffset val="100"/>
        <c:noMultiLvlLbl val="0"/>
      </c:catAx>
      <c:valAx>
        <c:axId val="35033059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330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所在单位网络安全保护专门机构设置情况</a:t>
            </a:r>
            <a:endParaRPr lang="zh-CN" altLang="en-US"/>
          </a:p>
        </c:rich>
      </c:tx>
      <c:layout/>
      <c:overlay val="0"/>
      <c:spPr>
        <a:noFill/>
        <a:ln>
          <a:noFill/>
        </a:ln>
        <a:effectLst/>
      </c:spPr>
    </c:title>
    <c:autoTitleDeleted val="0"/>
    <c:plotArea>
      <c:layout/>
      <c:pieChart>
        <c:varyColors val="1"/>
        <c:ser>
          <c:idx val="0"/>
          <c:order val="0"/>
          <c:tx>
            <c:strRef>
              <c:f>全国从业专题A!$B$60</c:f>
              <c:strCache>
                <c:ptCount val="1"/>
                <c:pt idx="0">
                  <c:v>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2"/>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全国从业专题A!$A$61:$A$63</c:f>
              <c:strCache>
                <c:ptCount val="3"/>
                <c:pt idx="0">
                  <c:v>是</c:v>
                </c:pt>
                <c:pt idx="1">
                  <c:v>否</c:v>
                </c:pt>
                <c:pt idx="2">
                  <c:v>不知道</c:v>
                </c:pt>
              </c:strCache>
            </c:strRef>
          </c:cat>
          <c:val>
            <c:numRef>
              <c:f>全国从业专题A!$B$61:$B$63</c:f>
              <c:numCache>
                <c:formatCode>0.00%</c:formatCode>
                <c:ptCount val="3"/>
                <c:pt idx="0">
                  <c:v>0.692</c:v>
                </c:pt>
                <c:pt idx="1">
                  <c:v>0.1684</c:v>
                </c:pt>
                <c:pt idx="2">
                  <c:v>0.1395</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所在单位网络安全责任人落实情况</a:t>
            </a:r>
            <a:endParaRPr lang="zh-CN" altLang="en-US"/>
          </a:p>
        </c:rich>
      </c:tx>
      <c:layout/>
      <c:overlay val="0"/>
      <c:spPr>
        <a:noFill/>
        <a:ln>
          <a:noFill/>
        </a:ln>
        <a:effectLst/>
      </c:spPr>
    </c:title>
    <c:autoTitleDeleted val="0"/>
    <c:plotArea>
      <c:layout/>
      <c:pieChart>
        <c:varyColors val="1"/>
        <c:ser>
          <c:idx val="0"/>
          <c:order val="0"/>
          <c:tx>
            <c:strRef>
              <c:f>全国从业专题A!$B$65</c:f>
              <c:strCache>
                <c:ptCount val="1"/>
                <c:pt idx="0">
                  <c:v>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2"/>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全国从业专题A!$A$66:$A$68</c:f>
              <c:strCache>
                <c:ptCount val="3"/>
                <c:pt idx="0">
                  <c:v>是</c:v>
                </c:pt>
                <c:pt idx="1">
                  <c:v>否</c:v>
                </c:pt>
                <c:pt idx="2">
                  <c:v>不知道</c:v>
                </c:pt>
              </c:strCache>
            </c:strRef>
          </c:cat>
          <c:val>
            <c:numRef>
              <c:f>全国从业专题A!$B$66:$B$68</c:f>
              <c:numCache>
                <c:formatCode>0.00%</c:formatCode>
                <c:ptCount val="3"/>
                <c:pt idx="0">
                  <c:v>0.7497</c:v>
                </c:pt>
                <c:pt idx="1">
                  <c:v>0.1146</c:v>
                </c:pt>
                <c:pt idx="2">
                  <c:v>0.1355</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所在单位网络安全经费预算落实情况</a:t>
            </a:r>
            <a:endParaRPr lang="zh-CN" altLang="en-US"/>
          </a:p>
        </c:rich>
      </c:tx>
      <c:layout/>
      <c:overlay val="0"/>
      <c:spPr>
        <a:noFill/>
        <a:ln>
          <a:noFill/>
        </a:ln>
        <a:effectLst/>
      </c:spPr>
    </c:title>
    <c:autoTitleDeleted val="0"/>
    <c:plotArea>
      <c:layout/>
      <c:pieChart>
        <c:varyColors val="1"/>
        <c:ser>
          <c:idx val="0"/>
          <c:order val="0"/>
          <c:tx>
            <c:strRef>
              <c:f>全国从业专题A!$B$70</c:f>
              <c:strCache>
                <c:ptCount val="1"/>
                <c:pt idx="0">
                  <c:v>全国占比</c:v>
                </c:pt>
              </c:strCache>
            </c:strRef>
          </c:tx>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manualLayout>
                  <c:x val="-0.135270541082164"/>
                  <c:y val="-0.0912996777658432"/>
                </c:manualLayout>
              </c:layout>
              <c:tx>
                <c:rich>
                  <a:bodyPr rot="0" spcFirstLastPara="1" vertOverflow="ellipsis" vert="horz" wrap="square" lIns="38100" tIns="19050" rIns="38100" bIns="19050" anchor="ctr" anchorCtr="1">
                    <a:spAutoFit/>
                  </a:bodyPr>
                  <a:lstStyle/>
                  <a:p>
                    <a:fld id="{f8e31ad8-1612-4475-8878-a28ba03981fd}" type="CATEGORYNAME">
                      <a:t>[CATEGORY NAME]</a:t>
                    </a:fld>
                    <a:r>
                      <a:t>,</a:t>
                    </a:r>
                    <a:fld id="{a226993f-b6d6-42a9-a804-8a95e73f79a5}" type="VALUE">
                      <a:t>[VALUE]</a:t>
                    </a:fld>
                    <a:endParaRPr lang="zh-CN" altLang="en-US" b="0" i="0" u="none" strike="noStrike" baseline="0">
                      <a:latin typeface="Times New Roman" panose="02020603050405020304" charset="0"/>
                      <a:ea typeface="Times New Roman" panose="02020603050405020304" charset="0"/>
                      <a:cs typeface="+mn-ea"/>
                    </a:endParaRP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mn-lt"/>
                      <a:ea typeface="+mn-ea"/>
                      <a:cs typeface="+mn-cs"/>
                    </a:defRPr>
                  </a:pPr>
                </a:p>
              </c:txPr>
              <c:dLblPos val="bestFit"/>
              <c:showLegendKey val="0"/>
              <c:showVal val="1"/>
              <c:showCatName val="1"/>
              <c:showSerName val="0"/>
              <c:showPercent val="1"/>
              <c:showBubbleSize val="0"/>
              <c:extLst>
                <c:ext xmlns:c15="http://schemas.microsoft.com/office/drawing/2012/chart" uri="{CE6537A1-D6FC-4f65-9D91-7224C49458BB}">
                  <c15:layout/>
                </c:ext>
              </c:extLst>
            </c:dLbl>
            <c:dLbl>
              <c:idx val="1"/>
              <c:layout>
                <c:manualLayout>
                  <c:x val="0.0976953907815631"/>
                  <c:y val="-0.128893662728249"/>
                </c:manualLayout>
              </c:layout>
              <c:tx>
                <c:rich>
                  <a:bodyPr rot="0" spcFirstLastPara="1" vertOverflow="ellipsis" vert="horz" wrap="square" lIns="38100" tIns="19050" rIns="38100" bIns="19050" anchor="ctr" anchorCtr="1">
                    <a:spAutoFit/>
                  </a:bodyPr>
                  <a:lstStyle/>
                  <a:p>
                    <a:fld id="{30ded3f3-fed2-4f8c-88ac-6d0485875511}" type="CATEGORYNAME">
                      <a:t>[CATEGORY NAME]</a:t>
                    </a:fld>
                    <a:r>
                      <a:t>,</a:t>
                    </a:r>
                    <a:fld id="{d9d05d54-f444-45fa-88cc-96dbc705b11d}" type="VALUE">
                      <a:t>[VALUE]</a:t>
                    </a:fld>
                    <a:endParaRPr lang="zh-CN" altLang="en-US" b="0" i="0" u="none" strike="noStrike" baseline="0">
                      <a:latin typeface="Times New Roman" panose="02020603050405020304" charset="0"/>
                      <a:ea typeface="Times New Roman" panose="02020603050405020304" charset="0"/>
                      <a:cs typeface="+mn-ea"/>
                    </a:endParaRP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mn-lt"/>
                      <a:ea typeface="+mn-ea"/>
                      <a:cs typeface="+mn-cs"/>
                    </a:defRPr>
                  </a:pPr>
                </a:p>
              </c:txPr>
              <c:dLblPos val="bestFit"/>
              <c:showLegendKey val="0"/>
              <c:showVal val="1"/>
              <c:showCatName val="1"/>
              <c:showSerName val="0"/>
              <c:showPercent val="1"/>
              <c:showBubbleSize val="0"/>
              <c:extLst>
                <c:ext xmlns:c15="http://schemas.microsoft.com/office/drawing/2012/chart" uri="{CE6537A1-D6FC-4f65-9D91-7224C49458BB}">
                  <c15:layout/>
                </c:ext>
              </c:extLst>
            </c:dLbl>
            <c:dLbl>
              <c:idx val="2"/>
              <c:layout>
                <c:manualLayout>
                  <c:x val="0.100200400801603"/>
                  <c:y val="0.193340494092374"/>
                </c:manualLayout>
              </c:layout>
              <c:tx>
                <c:rich>
                  <a:bodyPr rot="0" spcFirstLastPara="1" vertOverflow="ellipsis" vert="horz" wrap="square" lIns="38100" tIns="19050" rIns="38100" bIns="19050" anchor="ctr" anchorCtr="1">
                    <a:spAutoFit/>
                  </a:bodyPr>
                  <a:lstStyle/>
                  <a:p>
                    <a:fld id="{29a2c114-c08a-40e0-ae25-ee2b299d5e1c}" type="CATEGORYNAME">
                      <a:t>[CATEGORY NAME]</a:t>
                    </a:fld>
                    <a:r>
                      <a:t>,</a:t>
                    </a:r>
                    <a:fld id="{c1d99bc6-2e4b-4b8c-b188-7aa86ffdb3c0}" type="VALUE">
                      <a:t>[VALUE]</a:t>
                    </a:fld>
                    <a:endParaRPr lang="zh-CN" altLang="en-US" b="0" i="0" u="none" strike="noStrike" baseline="0">
                      <a:latin typeface="Times New Roman" panose="02020603050405020304" charset="0"/>
                      <a:ea typeface="Times New Roman" panose="02020603050405020304" charset="0"/>
                      <a:cs typeface="+mn-ea"/>
                    </a:endParaRP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mn-lt"/>
                      <a:ea typeface="+mn-ea"/>
                      <a:cs typeface="+mn-cs"/>
                    </a:defRPr>
                  </a:pPr>
                </a:p>
              </c:txPr>
              <c:dLblPos val="bestFit"/>
              <c:showLegendKey val="0"/>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全国从业专题A!$A$71:$A$73</c:f>
              <c:strCache>
                <c:ptCount val="3"/>
                <c:pt idx="0">
                  <c:v>是</c:v>
                </c:pt>
                <c:pt idx="1">
                  <c:v>否</c:v>
                </c:pt>
                <c:pt idx="2">
                  <c:v>不知道</c:v>
                </c:pt>
              </c:strCache>
            </c:strRef>
          </c:cat>
          <c:val>
            <c:numRef>
              <c:f>全国从业专题A!$B$71:$B$73</c:f>
              <c:numCache>
                <c:formatCode>0.00%</c:formatCode>
                <c:ptCount val="3"/>
                <c:pt idx="0">
                  <c:v>0.5874</c:v>
                </c:pt>
                <c:pt idx="1">
                  <c:v>0.1536</c:v>
                </c:pt>
                <c:pt idx="2">
                  <c:v>0.2588</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zh-CN" altLang="en-US" b="1"/>
              <a:t>网民从业时间分布图</a:t>
            </a:r>
            <a:endParaRPr lang="zh-CN" altLang="en-US" b="1"/>
          </a:p>
        </c:rich>
      </c:tx>
      <c:layout/>
      <c:overlay val="0"/>
      <c:spPr>
        <a:noFill/>
        <a:ln>
          <a:noFill/>
        </a:ln>
        <a:effectLst/>
      </c:spPr>
    </c:title>
    <c:autoTitleDeleted val="0"/>
    <c:plotArea>
      <c:layout>
        <c:manualLayout>
          <c:layoutTarget val="inner"/>
          <c:xMode val="edge"/>
          <c:yMode val="edge"/>
          <c:x val="0.133405376198838"/>
          <c:y val="0.111463704879016"/>
          <c:w val="0.84065919221937"/>
          <c:h val="0.702776675922253"/>
        </c:manualLayout>
      </c:layout>
      <c:barChart>
        <c:barDir val="bar"/>
        <c:grouping val="clustered"/>
        <c:varyColors val="0"/>
        <c:ser>
          <c:idx val="0"/>
          <c:order val="0"/>
          <c:tx>
            <c:strRef>
              <c:f>[重庆从业人员.xlsx]主问卷!$C$21</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[重庆从业人员.xlsx]主问卷!$B$22:$B$28</c:f>
              <c:strCache>
                <c:ptCount val="7"/>
                <c:pt idx="0">
                  <c:v>20年以上</c:v>
                </c:pt>
                <c:pt idx="1">
                  <c:v>16-20年</c:v>
                </c:pt>
                <c:pt idx="2">
                  <c:v>13-15年</c:v>
                </c:pt>
                <c:pt idx="3">
                  <c:v>7-9年</c:v>
                </c:pt>
                <c:pt idx="4">
                  <c:v>10-12年</c:v>
                </c:pt>
                <c:pt idx="5">
                  <c:v>4-6年</c:v>
                </c:pt>
                <c:pt idx="6">
                  <c:v>1-3年</c:v>
                </c:pt>
              </c:strCache>
            </c:strRef>
          </c:cat>
          <c:val>
            <c:numRef>
              <c:f>[重庆从业人员.xlsx]主问卷!$C$22:$C$28</c:f>
            </c:numRef>
          </c:val>
        </c:ser>
        <c:ser>
          <c:idx val="1"/>
          <c:order val="1"/>
          <c:tx>
            <c:strRef>
              <c:f>[重庆从业人员.xlsx]主问卷!$D$21</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[重庆从业人员.xlsx]主问卷!$B$22:$B$28</c:f>
              <c:strCache>
                <c:ptCount val="7"/>
                <c:pt idx="0">
                  <c:v>20年以上</c:v>
                </c:pt>
                <c:pt idx="1">
                  <c:v>16-20年</c:v>
                </c:pt>
                <c:pt idx="2">
                  <c:v>13-15年</c:v>
                </c:pt>
                <c:pt idx="3">
                  <c:v>7-9年</c:v>
                </c:pt>
                <c:pt idx="4">
                  <c:v>10-12年</c:v>
                </c:pt>
                <c:pt idx="5">
                  <c:v>4-6年</c:v>
                </c:pt>
                <c:pt idx="6">
                  <c:v>1-3年</c:v>
                </c:pt>
              </c:strCache>
            </c:strRef>
          </c:cat>
          <c:val>
            <c:numRef>
              <c:f>[重庆从业人员.xlsx]主问卷!$D$22:$D$28</c:f>
              <c:numCache>
                <c:formatCode>0.00%</c:formatCode>
                <c:ptCount val="7"/>
                <c:pt idx="0">
                  <c:v>0.0227</c:v>
                </c:pt>
                <c:pt idx="1">
                  <c:v>0.0264</c:v>
                </c:pt>
                <c:pt idx="2">
                  <c:v>0.035</c:v>
                </c:pt>
                <c:pt idx="3">
                  <c:v>0.0633</c:v>
                </c:pt>
                <c:pt idx="4">
                  <c:v>0.0817</c:v>
                </c:pt>
                <c:pt idx="5">
                  <c:v>0.2262</c:v>
                </c:pt>
                <c:pt idx="6">
                  <c:v>0.5446</c:v>
                </c:pt>
              </c:numCache>
            </c:numRef>
          </c:val>
        </c:ser>
        <c:ser>
          <c:idx val="2"/>
          <c:order val="2"/>
          <c:tx>
            <c:strRef>
              <c:f>[重庆从业人员.xlsx]主问卷!$E$21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[重庆从业人员.xlsx]主问卷!$B$22:$B$28</c:f>
              <c:strCache>
                <c:ptCount val="7"/>
                <c:pt idx="0">
                  <c:v>20年以上</c:v>
                </c:pt>
                <c:pt idx="1">
                  <c:v>16-20年</c:v>
                </c:pt>
                <c:pt idx="2">
                  <c:v>13-15年</c:v>
                </c:pt>
                <c:pt idx="3">
                  <c:v>7-9年</c:v>
                </c:pt>
                <c:pt idx="4">
                  <c:v>10-12年</c:v>
                </c:pt>
                <c:pt idx="5">
                  <c:v>4-6年</c:v>
                </c:pt>
                <c:pt idx="6">
                  <c:v>1-3年</c:v>
                </c:pt>
              </c:strCache>
            </c:strRef>
          </c:cat>
          <c:val>
            <c:numRef>
              <c:f>[重庆从业人员.xlsx]主问卷!$E$22:$E$28</c:f>
            </c:numRef>
          </c:val>
        </c:ser>
        <c:ser>
          <c:idx val="3"/>
          <c:order val="3"/>
          <c:tx>
            <c:strRef>
              <c:f>[重庆从业人员.xlsx]主问卷!$F$21</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[重庆从业人员.xlsx]主问卷!$B$22:$B$28</c:f>
              <c:strCache>
                <c:ptCount val="7"/>
                <c:pt idx="0">
                  <c:v>20年以上</c:v>
                </c:pt>
                <c:pt idx="1">
                  <c:v>16-20年</c:v>
                </c:pt>
                <c:pt idx="2">
                  <c:v>13-15年</c:v>
                </c:pt>
                <c:pt idx="3">
                  <c:v>7-9年</c:v>
                </c:pt>
                <c:pt idx="4">
                  <c:v>10-12年</c:v>
                </c:pt>
                <c:pt idx="5">
                  <c:v>4-6年</c:v>
                </c:pt>
                <c:pt idx="6">
                  <c:v>1-3年</c:v>
                </c:pt>
              </c:strCache>
            </c:strRef>
          </c:cat>
          <c:val>
            <c:numRef>
              <c:f>[重庆从业人员.xlsx]主问卷!$F$22:$F$28</c:f>
              <c:numCache>
                <c:formatCode>0.00%</c:formatCode>
                <c:ptCount val="7"/>
                <c:pt idx="0">
                  <c:v>0.0462</c:v>
                </c:pt>
                <c:pt idx="1">
                  <c:v>0.0479</c:v>
                </c:pt>
                <c:pt idx="2">
                  <c:v>0.0523</c:v>
                </c:pt>
                <c:pt idx="3">
                  <c:v>0.0804</c:v>
                </c:pt>
                <c:pt idx="4">
                  <c:v>0.1222</c:v>
                </c:pt>
                <c:pt idx="5">
                  <c:v>0.2073</c:v>
                </c:pt>
                <c:pt idx="6">
                  <c:v>0.4436</c:v>
                </c:pt>
              </c:numCache>
            </c:numRef>
          </c:val>
        </c:ser>
        <c:dLbls>
          <c:showLegendKey val="0"/>
          <c:showVal val="1"/>
          <c:showCatName val="0"/>
          <c:showSerName val="0"/>
          <c:showPercent val="0"/>
          <c:showBubbleSize val="0"/>
        </c:dLbls>
        <c:gapWidth val="182"/>
        <c:axId val="577472357"/>
        <c:axId val="407587894"/>
      </c:barChart>
      <c:catAx>
        <c:axId val="57747235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7587894"/>
        <c:crosses val="autoZero"/>
        <c:auto val="1"/>
        <c:lblAlgn val="ctr"/>
        <c:lblOffset val="100"/>
        <c:noMultiLvlLbl val="0"/>
      </c:catAx>
      <c:valAx>
        <c:axId val="40758789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747235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对企业网络安全合规应遵循法规的认识</a:t>
            </a:r>
            <a:endParaRPr lang="zh-CN" altLang="en-US" b="1"/>
          </a:p>
        </c:rich>
      </c:tx>
      <c:layout/>
      <c:overlay val="0"/>
      <c:spPr>
        <a:noFill/>
        <a:ln>
          <a:noFill/>
        </a:ln>
        <a:effectLst/>
      </c:spPr>
    </c:title>
    <c:autoTitleDeleted val="0"/>
    <c:plotArea>
      <c:layout>
        <c:manualLayout>
          <c:layoutTarget val="inner"/>
          <c:xMode val="edge"/>
          <c:yMode val="edge"/>
          <c:x val="0.502252906976744"/>
          <c:y val="0.136579139314369"/>
          <c:w val="0.454384689922481"/>
          <c:h val="0.788329686360321"/>
        </c:manualLayout>
      </c:layout>
      <c:barChart>
        <c:barDir val="bar"/>
        <c:grouping val="clustered"/>
        <c:varyColors val="0"/>
        <c:ser>
          <c:idx val="0"/>
          <c:order val="0"/>
          <c:tx>
            <c:strRef>
              <c:f>全国从业专题A!$B$75</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全国从业专题A!$A$76:$A$87</c:f>
              <c:strCache>
                <c:ptCount val="12"/>
                <c:pt idx="0">
                  <c:v>不知道</c:v>
                </c:pt>
                <c:pt idx="1">
                  <c:v>《中华人民共和国密码法》</c:v>
                </c:pt>
                <c:pt idx="2">
                  <c:v>《App违法违规收集使用个人信息行为认定方法》</c:v>
                </c:pt>
                <c:pt idx="3">
                  <c:v>《全国人大常委会关于维护互联网安全的决定》</c:v>
                </c:pt>
                <c:pt idx="4">
                  <c:v>《中华人民共和国反恐怖主义法》</c:v>
                </c:pt>
                <c:pt idx="5">
                  <c:v>《网络安全审查办法》</c:v>
                </c:pt>
                <c:pt idx="6">
                  <c:v>《保守国家秘密法》</c:v>
                </c:pt>
                <c:pt idx="7">
                  <c:v>《国家安全法》</c:v>
                </c:pt>
                <c:pt idx="8">
                  <c:v>《互联网信息服务管理办法》</c:v>
                </c:pt>
                <c:pt idx="9">
                  <c:v>《信息安全等级保护管理办法》</c:v>
                </c:pt>
                <c:pt idx="10">
                  <c:v>《计算机信息系统安全保护条例》</c:v>
                </c:pt>
                <c:pt idx="11">
                  <c:v>《中华人民共和国网络安全法》</c:v>
                </c:pt>
              </c:strCache>
            </c:strRef>
          </c:cat>
          <c:val>
            <c:numRef>
              <c:f>全国从业专题A!$B$76:$B$87</c:f>
              <c:numCache>
                <c:formatCode>0.00%</c:formatCode>
                <c:ptCount val="12"/>
                <c:pt idx="0">
                  <c:v>0.0588</c:v>
                </c:pt>
                <c:pt idx="1">
                  <c:v>0.4054</c:v>
                </c:pt>
                <c:pt idx="2">
                  <c:v>0.4068</c:v>
                </c:pt>
                <c:pt idx="3">
                  <c:v>0.4214</c:v>
                </c:pt>
                <c:pt idx="4">
                  <c:v>0.4426</c:v>
                </c:pt>
                <c:pt idx="5">
                  <c:v>0.4796</c:v>
                </c:pt>
                <c:pt idx="6">
                  <c:v>0.4996</c:v>
                </c:pt>
                <c:pt idx="7">
                  <c:v>0.5468</c:v>
                </c:pt>
                <c:pt idx="8">
                  <c:v>0.6524</c:v>
                </c:pt>
                <c:pt idx="9">
                  <c:v>0.7325</c:v>
                </c:pt>
                <c:pt idx="10">
                  <c:v>0.7539</c:v>
                </c:pt>
                <c:pt idx="11">
                  <c:v>0.8829</c:v>
                </c:pt>
              </c:numCache>
            </c:numRef>
          </c:val>
        </c:ser>
        <c:dLbls>
          <c:showLegendKey val="0"/>
          <c:showVal val="1"/>
          <c:showCatName val="0"/>
          <c:showSerName val="0"/>
          <c:showPercent val="0"/>
          <c:showBubbleSize val="0"/>
        </c:dLbls>
        <c:gapWidth val="182"/>
        <c:axId val="350332552"/>
        <c:axId val="350332944"/>
      </c:barChart>
      <c:catAx>
        <c:axId val="3503325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332944"/>
        <c:crosses val="autoZero"/>
        <c:auto val="1"/>
        <c:lblAlgn val="ctr"/>
        <c:lblOffset val="100"/>
        <c:noMultiLvlLbl val="0"/>
      </c:catAx>
      <c:valAx>
        <c:axId val="35033294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mn-lt"/>
                <a:ea typeface="+mn-ea"/>
                <a:cs typeface="+mn-cs"/>
              </a:defRPr>
            </a:pPr>
          </a:p>
        </c:txPr>
        <c:crossAx val="350332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政府提供的网络安全服务对行业帮助的有效性评价</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全国从业专题A!$B$89</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全国从业专题A!$A$90:$A$101</c:f>
              <c:strCache>
                <c:ptCount val="12"/>
                <c:pt idx="0">
                  <c:v>其他</c:v>
                </c:pt>
                <c:pt idx="1">
                  <c:v>免费工具提供</c:v>
                </c:pt>
                <c:pt idx="2">
                  <c:v>技能竞赛</c:v>
                </c:pt>
                <c:pt idx="3">
                  <c:v>操作指南宣传推广</c:v>
                </c:pt>
                <c:pt idx="4">
                  <c:v>标准制定实施</c:v>
                </c:pt>
                <c:pt idx="5">
                  <c:v>协调处理</c:v>
                </c:pt>
                <c:pt idx="6">
                  <c:v>投诉举报</c:v>
                </c:pt>
                <c:pt idx="7">
                  <c:v>信息查询</c:v>
                </c:pt>
                <c:pt idx="8">
                  <c:v>安全通报和风险提示</c:v>
                </c:pt>
                <c:pt idx="9">
                  <c:v>监督检查</c:v>
                </c:pt>
                <c:pt idx="10">
                  <c:v>教育培训</c:v>
                </c:pt>
                <c:pt idx="11">
                  <c:v>知识普及</c:v>
                </c:pt>
              </c:strCache>
            </c:strRef>
          </c:cat>
          <c:val>
            <c:numRef>
              <c:f>全国从业专题A!$B$90:$B$101</c:f>
              <c:numCache>
                <c:formatCode>0.00%</c:formatCode>
                <c:ptCount val="12"/>
                <c:pt idx="0">
                  <c:v>0.0434</c:v>
                </c:pt>
                <c:pt idx="1">
                  <c:v>0.2996</c:v>
                </c:pt>
                <c:pt idx="2">
                  <c:v>0.322</c:v>
                </c:pt>
                <c:pt idx="3">
                  <c:v>0.326</c:v>
                </c:pt>
                <c:pt idx="4">
                  <c:v>0.383</c:v>
                </c:pt>
                <c:pt idx="5">
                  <c:v>0.4203</c:v>
                </c:pt>
                <c:pt idx="6">
                  <c:v>0.4793</c:v>
                </c:pt>
                <c:pt idx="7">
                  <c:v>0.5463</c:v>
                </c:pt>
                <c:pt idx="8">
                  <c:v>0.5464</c:v>
                </c:pt>
                <c:pt idx="9">
                  <c:v>0.5759</c:v>
                </c:pt>
                <c:pt idx="10">
                  <c:v>0.6119</c:v>
                </c:pt>
                <c:pt idx="11">
                  <c:v>0.767</c:v>
                </c:pt>
              </c:numCache>
            </c:numRef>
          </c:val>
        </c:ser>
        <c:dLbls>
          <c:showLegendKey val="0"/>
          <c:showVal val="1"/>
          <c:showCatName val="0"/>
          <c:showSerName val="0"/>
          <c:showPercent val="0"/>
          <c:showBubbleSize val="0"/>
        </c:dLbls>
        <c:gapWidth val="182"/>
        <c:axId val="350333728"/>
        <c:axId val="350334120"/>
      </c:barChart>
      <c:catAx>
        <c:axId val="3503337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334120"/>
        <c:crosses val="autoZero"/>
        <c:auto val="1"/>
        <c:lblAlgn val="ctr"/>
        <c:lblOffset val="100"/>
        <c:noMultiLvlLbl val="0"/>
      </c:catAx>
      <c:valAx>
        <c:axId val="35033412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333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网络安全培训情况</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全国从业专题A!$B$103</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全国从业专题A!$A$104:$A$110</c:f>
              <c:strCache>
                <c:ptCount val="7"/>
                <c:pt idx="0">
                  <c:v>其他</c:v>
                </c:pt>
                <c:pt idx="1">
                  <c:v>从未接受过培训</c:v>
                </c:pt>
                <c:pt idx="2">
                  <c:v>参加相关专业论坛、研讨会等</c:v>
                </c:pt>
                <c:pt idx="3">
                  <c:v>购买有关课程自学</c:v>
                </c:pt>
                <c:pt idx="4">
                  <c:v>专业机构组织的培训</c:v>
                </c:pt>
                <c:pt idx="5">
                  <c:v>政府部门组织的培训</c:v>
                </c:pt>
                <c:pt idx="6">
                  <c:v>本单位组织的培训</c:v>
                </c:pt>
              </c:strCache>
            </c:strRef>
          </c:cat>
          <c:val>
            <c:numRef>
              <c:f>全国从业专题A!$B$104:$B$110</c:f>
              <c:numCache>
                <c:formatCode>0.00%</c:formatCode>
                <c:ptCount val="7"/>
                <c:pt idx="0">
                  <c:v>0.0642</c:v>
                </c:pt>
                <c:pt idx="1">
                  <c:v>0.1993</c:v>
                </c:pt>
                <c:pt idx="2">
                  <c:v>0.2386</c:v>
                </c:pt>
                <c:pt idx="3">
                  <c:v>0.252</c:v>
                </c:pt>
                <c:pt idx="4">
                  <c:v>0.3048</c:v>
                </c:pt>
                <c:pt idx="5">
                  <c:v>0.3478</c:v>
                </c:pt>
                <c:pt idx="6">
                  <c:v>0.6078</c:v>
                </c:pt>
              </c:numCache>
            </c:numRef>
          </c:val>
        </c:ser>
        <c:dLbls>
          <c:showLegendKey val="0"/>
          <c:showVal val="1"/>
          <c:showCatName val="0"/>
          <c:showSerName val="0"/>
          <c:showPercent val="0"/>
          <c:showBubbleSize val="0"/>
        </c:dLbls>
        <c:gapWidth val="182"/>
        <c:axId val="350334904"/>
        <c:axId val="350335296"/>
      </c:barChart>
      <c:catAx>
        <c:axId val="350334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335296"/>
        <c:crosses val="autoZero"/>
        <c:auto val="1"/>
        <c:lblAlgn val="ctr"/>
        <c:lblOffset val="100"/>
        <c:noMultiLvlLbl val="0"/>
      </c:catAx>
      <c:valAx>
        <c:axId val="3503352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334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对网络安全“三化”概念的认识</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全国从业专题A!$B$112</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全国从业专题A!$A$113:$A$116</c:f>
              <c:strCache>
                <c:ptCount val="4"/>
                <c:pt idx="0">
                  <c:v>实战化</c:v>
                </c:pt>
                <c:pt idx="1">
                  <c:v>体系化</c:v>
                </c:pt>
                <c:pt idx="2">
                  <c:v>常态化</c:v>
                </c:pt>
                <c:pt idx="3">
                  <c:v>规范化</c:v>
                </c:pt>
              </c:strCache>
            </c:strRef>
          </c:cat>
          <c:val>
            <c:numRef>
              <c:f>全国从业专题A!$B$113:$B$116</c:f>
              <c:numCache>
                <c:formatCode>0.00%</c:formatCode>
                <c:ptCount val="4"/>
                <c:pt idx="0">
                  <c:v>0.6609</c:v>
                </c:pt>
                <c:pt idx="1">
                  <c:v>0.7616</c:v>
                </c:pt>
                <c:pt idx="2">
                  <c:v>0.7222</c:v>
                </c:pt>
                <c:pt idx="3">
                  <c:v>0.6881</c:v>
                </c:pt>
              </c:numCache>
            </c:numRef>
          </c:val>
        </c:ser>
        <c:dLbls>
          <c:showLegendKey val="0"/>
          <c:showVal val="1"/>
          <c:showCatName val="0"/>
          <c:showSerName val="0"/>
          <c:showPercent val="0"/>
          <c:showBubbleSize val="0"/>
        </c:dLbls>
        <c:gapWidth val="219"/>
        <c:overlap val="-27"/>
        <c:axId val="350336080"/>
        <c:axId val="350336472"/>
      </c:barChart>
      <c:catAx>
        <c:axId val="350336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336472"/>
        <c:crosses val="autoZero"/>
        <c:auto val="1"/>
        <c:lblAlgn val="ctr"/>
        <c:lblOffset val="100"/>
        <c:noMultiLvlLbl val="0"/>
      </c:catAx>
      <c:valAx>
        <c:axId val="3503364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336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对网络安全“六防”措施的认识</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全国从业专题A!$B$118</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全国从业专题A!$A$119:$A$124</c:f>
              <c:strCache>
                <c:ptCount val="6"/>
                <c:pt idx="0">
                  <c:v>动态防御</c:v>
                </c:pt>
                <c:pt idx="1">
                  <c:v>主动防御</c:v>
                </c:pt>
                <c:pt idx="2">
                  <c:v>精准防护</c:v>
                </c:pt>
                <c:pt idx="3">
                  <c:v>纵深防御</c:v>
                </c:pt>
                <c:pt idx="4">
                  <c:v>整体防控</c:v>
                </c:pt>
                <c:pt idx="5">
                  <c:v>联防联控</c:v>
                </c:pt>
              </c:strCache>
            </c:strRef>
          </c:cat>
          <c:val>
            <c:numRef>
              <c:f>全国从业专题A!$B$119:$B$124</c:f>
              <c:numCache>
                <c:formatCode>0.00%</c:formatCode>
                <c:ptCount val="6"/>
                <c:pt idx="0">
                  <c:v>0.9011</c:v>
                </c:pt>
                <c:pt idx="1">
                  <c:v>0.8695</c:v>
                </c:pt>
                <c:pt idx="2">
                  <c:v>0.8493</c:v>
                </c:pt>
                <c:pt idx="3">
                  <c:v>0.8403</c:v>
                </c:pt>
                <c:pt idx="4">
                  <c:v>0.8211</c:v>
                </c:pt>
                <c:pt idx="5">
                  <c:v>0.8201</c:v>
                </c:pt>
              </c:numCache>
            </c:numRef>
          </c:val>
        </c:ser>
        <c:dLbls>
          <c:showLegendKey val="0"/>
          <c:showVal val="1"/>
          <c:showCatName val="0"/>
          <c:showSerName val="0"/>
          <c:showPercent val="0"/>
          <c:showBubbleSize val="0"/>
        </c:dLbls>
        <c:gapWidth val="219"/>
        <c:overlap val="-27"/>
        <c:axId val="350337256"/>
        <c:axId val="350337648"/>
      </c:barChart>
      <c:catAx>
        <c:axId val="350337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337648"/>
        <c:crosses val="autoZero"/>
        <c:auto val="1"/>
        <c:lblAlgn val="ctr"/>
        <c:lblOffset val="100"/>
        <c:noMultiLvlLbl val="0"/>
      </c:catAx>
      <c:valAx>
        <c:axId val="3503376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337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对网络安全等级保护制度</a:t>
            </a:r>
            <a:r>
              <a:rPr lang="en-US" altLang="zh-CN"/>
              <a:t>2.0</a:t>
            </a:r>
            <a:r>
              <a:rPr lang="zh-CN" altLang="en-US"/>
              <a:t>标准的了解</a:t>
            </a:r>
            <a:endParaRPr lang="zh-CN" altLang="en-US"/>
          </a:p>
        </c:rich>
      </c:tx>
      <c:layout/>
      <c:overlay val="0"/>
      <c:spPr>
        <a:noFill/>
        <a:ln>
          <a:noFill/>
        </a:ln>
        <a:effectLst/>
      </c:spPr>
    </c:title>
    <c:autoTitleDeleted val="0"/>
    <c:plotArea>
      <c:layout/>
      <c:pieChart>
        <c:varyColors val="1"/>
        <c:ser>
          <c:idx val="0"/>
          <c:order val="0"/>
          <c:tx>
            <c:strRef>
              <c:f>全国从业专题A!$B$126</c:f>
              <c:strCache>
                <c:ptCount val="1"/>
                <c:pt idx="0">
                  <c:v>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manualLayout>
                  <c:x val="-0.0805555555555556"/>
                  <c:y val="-0.0555555555555556"/>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2.546266881604e-17"/>
                  <c:y val="0.0416666666666667"/>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全国从业专题A!$A$127:$A$129</c:f>
              <c:strCache>
                <c:ptCount val="3"/>
                <c:pt idx="0">
                  <c:v>了解</c:v>
                </c:pt>
                <c:pt idx="1">
                  <c:v>知道等级保护但不了解等级保护2.0</c:v>
                </c:pt>
                <c:pt idx="2">
                  <c:v>完全不了解</c:v>
                </c:pt>
              </c:strCache>
            </c:strRef>
          </c:cat>
          <c:val>
            <c:numRef>
              <c:f>全国从业专题A!$B$127:$B$129</c:f>
              <c:numCache>
                <c:formatCode>0.00%</c:formatCode>
                <c:ptCount val="3"/>
                <c:pt idx="0">
                  <c:v>0.3757</c:v>
                </c:pt>
                <c:pt idx="1">
                  <c:v>0.3963</c:v>
                </c:pt>
                <c:pt idx="2">
                  <c:v>0.2279</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网络安全等级保护对产业、企业发展推动作用</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全国从业专题A!$B$131</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全国从业专题A!$A$132:$A$136</c:f>
              <c:strCache>
                <c:ptCount val="5"/>
                <c:pt idx="0">
                  <c:v>很大</c:v>
                </c:pt>
                <c:pt idx="1">
                  <c:v>比较大</c:v>
                </c:pt>
                <c:pt idx="2">
                  <c:v>一般</c:v>
                </c:pt>
                <c:pt idx="3">
                  <c:v>比较小</c:v>
                </c:pt>
                <c:pt idx="4">
                  <c:v>没什么作用</c:v>
                </c:pt>
              </c:strCache>
            </c:strRef>
          </c:cat>
          <c:val>
            <c:numRef>
              <c:f>全国从业专题A!$B$132:$B$136</c:f>
              <c:numCache>
                <c:formatCode>0.00%</c:formatCode>
                <c:ptCount val="5"/>
                <c:pt idx="0">
                  <c:v>0.5686</c:v>
                </c:pt>
                <c:pt idx="1">
                  <c:v>0.3007</c:v>
                </c:pt>
                <c:pt idx="2">
                  <c:v>0.1062</c:v>
                </c:pt>
                <c:pt idx="3">
                  <c:v>0.0183</c:v>
                </c:pt>
                <c:pt idx="4">
                  <c:v>0.0061</c:v>
                </c:pt>
              </c:numCache>
            </c:numRef>
          </c:val>
        </c:ser>
        <c:dLbls>
          <c:showLegendKey val="0"/>
          <c:showVal val="1"/>
          <c:showCatName val="0"/>
          <c:showSerName val="0"/>
          <c:showPercent val="0"/>
          <c:showBubbleSize val="0"/>
        </c:dLbls>
        <c:gapWidth val="219"/>
        <c:overlap val="-27"/>
        <c:axId val="350338824"/>
        <c:axId val="350339216"/>
      </c:barChart>
      <c:catAx>
        <c:axId val="350338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339216"/>
        <c:crosses val="autoZero"/>
        <c:auto val="1"/>
        <c:lblAlgn val="ctr"/>
        <c:lblOffset val="100"/>
        <c:noMultiLvlLbl val="0"/>
      </c:catAx>
      <c:valAx>
        <c:axId val="3503392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338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所在单位网络安全等级保护开展情况</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全国从业专题A!$B$138</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全国从业专题A!$A$139:$A$144</c:f>
              <c:strCache>
                <c:ptCount val="6"/>
                <c:pt idx="0">
                  <c:v>信息系统定级备案</c:v>
                </c:pt>
                <c:pt idx="1">
                  <c:v>信息系统安全建设整改</c:v>
                </c:pt>
                <c:pt idx="2">
                  <c:v>信息系统安全测评</c:v>
                </c:pt>
                <c:pt idx="3">
                  <c:v>开展网络安全自查</c:v>
                </c:pt>
                <c:pt idx="4">
                  <c:v>没有进行过</c:v>
                </c:pt>
                <c:pt idx="5">
                  <c:v>不了解</c:v>
                </c:pt>
              </c:strCache>
            </c:strRef>
          </c:cat>
          <c:val>
            <c:numRef>
              <c:f>全国从业专题A!$B$139:$B$144</c:f>
              <c:numCache>
                <c:formatCode>0.00%</c:formatCode>
                <c:ptCount val="6"/>
                <c:pt idx="0">
                  <c:v>0.5848</c:v>
                </c:pt>
                <c:pt idx="1">
                  <c:v>0.5196</c:v>
                </c:pt>
                <c:pt idx="2">
                  <c:v>0.516</c:v>
                </c:pt>
                <c:pt idx="3">
                  <c:v>0.5384</c:v>
                </c:pt>
                <c:pt idx="4">
                  <c:v>0.1024</c:v>
                </c:pt>
                <c:pt idx="5">
                  <c:v>0.189</c:v>
                </c:pt>
              </c:numCache>
            </c:numRef>
          </c:val>
        </c:ser>
        <c:dLbls>
          <c:showLegendKey val="0"/>
          <c:showVal val="1"/>
          <c:showCatName val="0"/>
          <c:showSerName val="0"/>
          <c:showPercent val="0"/>
          <c:showBubbleSize val="0"/>
        </c:dLbls>
        <c:gapWidth val="219"/>
        <c:overlap val="-27"/>
        <c:axId val="350340000"/>
        <c:axId val="350340392"/>
      </c:barChart>
      <c:catAx>
        <c:axId val="350340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340392"/>
        <c:crosses val="autoZero"/>
        <c:auto val="1"/>
        <c:lblAlgn val="ctr"/>
        <c:lblOffset val="100"/>
        <c:noMultiLvlLbl val="0"/>
      </c:catAx>
      <c:valAx>
        <c:axId val="3503403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340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对测评机构服务满意度评价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全国从业专题A!$B$146</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全国从业专题A!$A$147:$A$151</c:f>
              <c:strCache>
                <c:ptCount val="5"/>
                <c:pt idx="0">
                  <c:v>非常满意</c:v>
                </c:pt>
                <c:pt idx="1">
                  <c:v>满意</c:v>
                </c:pt>
                <c:pt idx="2">
                  <c:v>一般</c:v>
                </c:pt>
                <c:pt idx="3">
                  <c:v>不满意</c:v>
                </c:pt>
                <c:pt idx="4">
                  <c:v>非常不满意</c:v>
                </c:pt>
              </c:strCache>
            </c:strRef>
          </c:cat>
          <c:val>
            <c:numRef>
              <c:f>全国从业专题A!$B$147:$B$151</c:f>
              <c:numCache>
                <c:formatCode>0.00%</c:formatCode>
                <c:ptCount val="5"/>
                <c:pt idx="0">
                  <c:v>0.3395</c:v>
                </c:pt>
                <c:pt idx="1">
                  <c:v>0.4611</c:v>
                </c:pt>
                <c:pt idx="2">
                  <c:v>0.1818</c:v>
                </c:pt>
                <c:pt idx="3">
                  <c:v>0.0106</c:v>
                </c:pt>
                <c:pt idx="4">
                  <c:v>0.0067</c:v>
                </c:pt>
              </c:numCache>
            </c:numRef>
          </c:val>
        </c:ser>
        <c:dLbls>
          <c:showLegendKey val="0"/>
          <c:showVal val="1"/>
          <c:showCatName val="0"/>
          <c:showSerName val="0"/>
          <c:showPercent val="0"/>
          <c:showBubbleSize val="0"/>
        </c:dLbls>
        <c:gapWidth val="219"/>
        <c:overlap val="-27"/>
        <c:axId val="350341176"/>
        <c:axId val="350341568"/>
      </c:barChart>
      <c:catAx>
        <c:axId val="350341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341568"/>
        <c:crosses val="autoZero"/>
        <c:auto val="1"/>
        <c:lblAlgn val="ctr"/>
        <c:lblOffset val="100"/>
        <c:noMultiLvlLbl val="0"/>
      </c:catAx>
      <c:valAx>
        <c:axId val="3503415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341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对测评服务不满意的原因</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全国从业专题A!$B$153</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全国从业专题A!$A$154:$A$160</c:f>
              <c:strCache>
                <c:ptCount val="7"/>
                <c:pt idx="0">
                  <c:v>其他</c:v>
                </c:pt>
                <c:pt idx="1">
                  <c:v>时间周期长</c:v>
                </c:pt>
                <c:pt idx="2">
                  <c:v>服务态度差</c:v>
                </c:pt>
                <c:pt idx="3">
                  <c:v>过程复杂，效率低</c:v>
                </c:pt>
                <c:pt idx="4">
                  <c:v>整改措施不切实际</c:v>
                </c:pt>
                <c:pt idx="5">
                  <c:v>收费不合理</c:v>
                </c:pt>
                <c:pt idx="6">
                  <c:v>专业能力欠缺</c:v>
                </c:pt>
              </c:strCache>
            </c:strRef>
          </c:cat>
          <c:val>
            <c:numRef>
              <c:f>全国从业专题A!$B$154:$B$160</c:f>
              <c:numCache>
                <c:formatCode>0.00%</c:formatCode>
                <c:ptCount val="7"/>
                <c:pt idx="0">
                  <c:v>0.0737</c:v>
                </c:pt>
                <c:pt idx="1">
                  <c:v>0.0983</c:v>
                </c:pt>
                <c:pt idx="2">
                  <c:v>0.0983</c:v>
                </c:pt>
                <c:pt idx="3">
                  <c:v>0.1147</c:v>
                </c:pt>
                <c:pt idx="4">
                  <c:v>0.1393</c:v>
                </c:pt>
                <c:pt idx="5">
                  <c:v>0.1721</c:v>
                </c:pt>
                <c:pt idx="6">
                  <c:v>0.3032</c:v>
                </c:pt>
              </c:numCache>
            </c:numRef>
          </c:val>
        </c:ser>
        <c:dLbls>
          <c:showLegendKey val="0"/>
          <c:showVal val="1"/>
          <c:showCatName val="0"/>
          <c:showSerName val="0"/>
          <c:showPercent val="0"/>
          <c:showBubbleSize val="0"/>
        </c:dLbls>
        <c:gapWidth val="182"/>
        <c:axId val="350342352"/>
        <c:axId val="350342744"/>
      </c:barChart>
      <c:catAx>
        <c:axId val="3503423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342744"/>
        <c:crosses val="autoZero"/>
        <c:auto val="1"/>
        <c:lblAlgn val="ctr"/>
        <c:lblOffset val="100"/>
        <c:noMultiLvlLbl val="0"/>
      </c:catAx>
      <c:valAx>
        <c:axId val="35034274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342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从业人员学历分布图</a:t>
            </a:r>
            <a:endParaRPr lang="zh-CN" altLang="en-US" b="1"/>
          </a:p>
        </c:rich>
      </c:tx>
      <c:layout>
        <c:manualLayout>
          <c:xMode val="edge"/>
          <c:yMode val="edge"/>
          <c:x val="0.28598820058997"/>
          <c:y val="0.0186915887850467"/>
        </c:manualLayout>
      </c:layout>
      <c:overlay val="0"/>
      <c:spPr>
        <a:noFill/>
        <a:ln>
          <a:noFill/>
        </a:ln>
        <a:effectLst/>
      </c:spPr>
    </c:title>
    <c:autoTitleDeleted val="0"/>
    <c:plotArea>
      <c:layout>
        <c:manualLayout>
          <c:layoutTarget val="inner"/>
          <c:xMode val="edge"/>
          <c:yMode val="edge"/>
          <c:x val="0.276311476762034"/>
          <c:y val="0.313446173903789"/>
          <c:w val="0.463611111111111"/>
          <c:h val="0.772685185185185"/>
        </c:manualLayout>
      </c:layout>
      <c:pieChart>
        <c:varyColors val="1"/>
        <c:ser>
          <c:idx val="0"/>
          <c:order val="0"/>
          <c:tx>
            <c:strRef>
              <c:f>[重庆从业人员.xlsx]主问卷!$C$32</c:f>
              <c:strCache>
                <c:ptCount val="1"/>
                <c:pt idx="0">
                  <c:v>重庆数</c:v>
                </c:pt>
              </c:strCache>
            </c:strRef>
          </c:tx>
          <c:spPr/>
          <c:explosion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[重庆从业人员.xlsx]主问卷!$B$33:$B$38</c:f>
              <c:strCache>
                <c:ptCount val="6"/>
                <c:pt idx="0">
                  <c:v>高中以下</c:v>
                </c:pt>
                <c:pt idx="1">
                  <c:v>高中（职高、中专、技校）</c:v>
                </c:pt>
                <c:pt idx="2">
                  <c:v>大学专科</c:v>
                </c:pt>
                <c:pt idx="3">
                  <c:v>大学本科</c:v>
                </c:pt>
                <c:pt idx="4">
                  <c:v>硕士研究生</c:v>
                </c:pt>
                <c:pt idx="5">
                  <c:v>博士研究生</c:v>
                </c:pt>
              </c:strCache>
            </c:strRef>
          </c:cat>
          <c:val>
            <c:numRef>
              <c:f>[重庆从业人员.xlsx]主问卷!$C$33:$C$38</c:f>
            </c:numRef>
          </c:val>
        </c:ser>
        <c:ser>
          <c:idx val="1"/>
          <c:order val="1"/>
          <c:tx>
            <c:strRef>
              <c:f>[重庆从业人员.xlsx]主问卷!$D$32</c:f>
              <c:strCache>
                <c:ptCount val="1"/>
                <c:pt idx="0">
                  <c:v>重庆占比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0"/>
              <c:layout>
                <c:manualLayout>
                  <c:x val="0.195270328202885"/>
                  <c:y val="0.00573214012992847"/>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lang="zh-CN" altLang="en-US"/>
                      <a:t>高中以下</a:t>
                    </a:r>
                    <a:endParaRPr lang="zh-CN" altLang="en-US"/>
                  </a:p>
                  <a:p>
                    <a:pPr>
                      <a:defRPr lang="zh-CN" sz="1100" b="1" i="0" u="none" strike="noStrike" kern="1200" baseline="0">
                        <a:solidFill>
                          <a:schemeClr val="tx1">
                            <a:lumMod val="75000"/>
                            <a:lumOff val="25000"/>
                          </a:schemeClr>
                        </a:solidFill>
                        <a:latin typeface="+mn-lt"/>
                        <a:ea typeface="+mn-ea"/>
                        <a:cs typeface="+mn-cs"/>
                      </a:defRPr>
                    </a:pPr>
                    <a:r>
                      <a:rPr lang="en-US" altLang="zh-CN"/>
                      <a:t>4.67%</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74760236963783"/>
                  <c:y val="0.183800596106148"/>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lang="zh-CN" altLang="en-US"/>
                      <a:t>高中（职高、中专、技校）</a:t>
                    </a:r>
                    <a:endParaRPr lang="zh-CN" altLang="en-US"/>
                  </a:p>
                  <a:p>
                    <a:pPr>
                      <a:defRPr lang="zh-CN" sz="1100" b="1" i="0" u="none" strike="noStrike" kern="1200" baseline="0">
                        <a:solidFill>
                          <a:schemeClr val="tx1">
                            <a:lumMod val="75000"/>
                            <a:lumOff val="25000"/>
                          </a:schemeClr>
                        </a:solidFill>
                        <a:latin typeface="+mn-lt"/>
                        <a:ea typeface="+mn-ea"/>
                        <a:cs typeface="+mn-cs"/>
                      </a:defRPr>
                    </a:pPr>
                    <a:r>
                      <a:rPr lang="en-US" altLang="zh-CN"/>
                      <a:t>8.67%</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27215631542219"/>
                      <c:h val="0.287690179806362"/>
                    </c:manualLayout>
                  </c15:layout>
                </c:ext>
              </c:extLst>
            </c:dLbl>
            <c:dLbl>
              <c:idx val="2"/>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lang="zh-CN" altLang="en-US"/>
                      <a:t>大学专科</a:t>
                    </a:r>
                    <a:endParaRPr lang="zh-CN" altLang="en-US"/>
                  </a:p>
                  <a:p>
                    <a:pPr>
                      <a:defRPr lang="zh-CN" sz="1100" b="1" i="0" u="none" strike="noStrike" kern="1200" baseline="0">
                        <a:solidFill>
                          <a:schemeClr val="tx1">
                            <a:lumMod val="75000"/>
                            <a:lumOff val="25000"/>
                          </a:schemeClr>
                        </a:solidFill>
                        <a:latin typeface="+mn-lt"/>
                        <a:ea typeface="+mn-ea"/>
                        <a:cs typeface="+mn-cs"/>
                      </a:defRPr>
                    </a:pPr>
                    <a:r>
                      <a:rPr lang="en-US" altLang="zh-CN"/>
                      <a:t>31.78%</a:t>
                    </a:r>
                    <a:endParaRPr lang="en-US" altLang="zh-CN"/>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lang="zh-CN" altLang="en-US"/>
                      <a:t>大学本科</a:t>
                    </a:r>
                    <a:endParaRPr lang="zh-CN" altLang="en-US"/>
                  </a:p>
                  <a:p>
                    <a:pPr>
                      <a:defRPr lang="zh-CN" sz="1100" b="1" i="0" u="none" strike="noStrike" kern="1200" baseline="0">
                        <a:solidFill>
                          <a:schemeClr val="tx1">
                            <a:lumMod val="75000"/>
                            <a:lumOff val="25000"/>
                          </a:schemeClr>
                        </a:solidFill>
                        <a:latin typeface="+mn-lt"/>
                        <a:ea typeface="+mn-ea"/>
                        <a:cs typeface="+mn-cs"/>
                      </a:defRPr>
                    </a:pPr>
                    <a:r>
                      <a:rPr lang="en-US" altLang="zh-CN"/>
                      <a:t>50.95%</a:t>
                    </a:r>
                    <a:endParaRPr lang="en-US" altLang="zh-CN"/>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4"/>
              <c:layout>
                <c:manualLayout>
                  <c:x val="-0.364651123447209"/>
                  <c:y val="0.176863251822777"/>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lang="zh-CN" altLang="en-US"/>
                      <a:t>硕士研究生</a:t>
                    </a:r>
                    <a:endParaRPr lang="zh-CN" altLang="en-US"/>
                  </a:p>
                  <a:p>
                    <a:pPr>
                      <a:defRPr lang="zh-CN" sz="1100" b="1" i="0" u="none" strike="noStrike" kern="1200" baseline="0">
                        <a:solidFill>
                          <a:schemeClr val="tx1">
                            <a:lumMod val="75000"/>
                            <a:lumOff val="25000"/>
                          </a:schemeClr>
                        </a:solidFill>
                        <a:latin typeface="+mn-lt"/>
                        <a:ea typeface="+mn-ea"/>
                        <a:cs typeface="+mn-cs"/>
                      </a:defRPr>
                    </a:pPr>
                    <a:r>
                      <a:rPr lang="en-US" altLang="zh-CN"/>
                      <a:t>3.20%</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layout>
                <c:manualLayout>
                  <c:x val="-0.266589299876237"/>
                  <c:y val="0.0822430972302434"/>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lang="zh-CN" altLang="en-US"/>
                      <a:t>博士研究生</a:t>
                    </a:r>
                    <a:endParaRPr lang="zh-CN" altLang="en-US"/>
                  </a:p>
                  <a:p>
                    <a:pPr>
                      <a:defRPr lang="zh-CN" sz="1100" b="1" i="0" u="none" strike="noStrike" kern="1200" baseline="0">
                        <a:solidFill>
                          <a:schemeClr val="tx1">
                            <a:lumMod val="75000"/>
                            <a:lumOff val="25000"/>
                          </a:schemeClr>
                        </a:solidFill>
                        <a:latin typeface="+mn-lt"/>
                        <a:ea typeface="+mn-ea"/>
                        <a:cs typeface="+mn-cs"/>
                      </a:defRPr>
                    </a:pPr>
                    <a:r>
                      <a:rPr lang="en-US" altLang="zh-CN"/>
                      <a:t>0.74%</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[重庆从业人员.xlsx]主问卷!$B$33:$B$38</c:f>
              <c:strCache>
                <c:ptCount val="6"/>
                <c:pt idx="0">
                  <c:v>高中以下</c:v>
                </c:pt>
                <c:pt idx="1">
                  <c:v>高中（职高、中专、技校）</c:v>
                </c:pt>
                <c:pt idx="2">
                  <c:v>大学专科</c:v>
                </c:pt>
                <c:pt idx="3">
                  <c:v>大学本科</c:v>
                </c:pt>
                <c:pt idx="4">
                  <c:v>硕士研究生</c:v>
                </c:pt>
                <c:pt idx="5">
                  <c:v>博士研究生</c:v>
                </c:pt>
              </c:strCache>
            </c:strRef>
          </c:cat>
          <c:val>
            <c:numRef>
              <c:f>[重庆从业人员.xlsx]主问卷!$D$33:$D$38</c:f>
              <c:numCache>
                <c:formatCode>0.00%</c:formatCode>
                <c:ptCount val="6"/>
                <c:pt idx="0">
                  <c:v>0.0467</c:v>
                </c:pt>
                <c:pt idx="1">
                  <c:v>0.0867</c:v>
                </c:pt>
                <c:pt idx="2">
                  <c:v>0.3178</c:v>
                </c:pt>
                <c:pt idx="3">
                  <c:v>0.5095</c:v>
                </c:pt>
                <c:pt idx="4">
                  <c:v>0.032</c:v>
                </c:pt>
                <c:pt idx="5">
                  <c:v>0.0074</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所在单位发生网络安全事件</a:t>
            </a:r>
            <a:endParaRPr lang="zh-CN" altLang="en-US"/>
          </a:p>
        </c:rich>
      </c:tx>
      <c:layout/>
      <c:overlay val="0"/>
      <c:spPr>
        <a:noFill/>
        <a:ln>
          <a:noFill/>
        </a:ln>
        <a:effectLst/>
      </c:spPr>
    </c:title>
    <c:autoTitleDeleted val="0"/>
    <c:plotArea>
      <c:layout/>
      <c:pieChart>
        <c:varyColors val="1"/>
        <c:ser>
          <c:idx val="0"/>
          <c:order val="0"/>
          <c:tx>
            <c:strRef>
              <c:f>全国从业专题A!$B$162</c:f>
              <c:strCache>
                <c:ptCount val="1"/>
                <c:pt idx="0">
                  <c:v>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manualLayout>
                  <c:x val="0.1"/>
                  <c:y val="-0.0462962962962963"/>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全国从业专题A!$A$163:$A$165</c:f>
              <c:strCache>
                <c:ptCount val="3"/>
                <c:pt idx="0">
                  <c:v>发生过</c:v>
                </c:pt>
                <c:pt idx="1">
                  <c:v>没发生过</c:v>
                </c:pt>
                <c:pt idx="2">
                  <c:v>不清楚</c:v>
                </c:pt>
              </c:strCache>
            </c:strRef>
          </c:cat>
          <c:val>
            <c:numRef>
              <c:f>全国从业专题A!$B$163:$B$165</c:f>
              <c:numCache>
                <c:formatCode>0.00%</c:formatCode>
                <c:ptCount val="3"/>
                <c:pt idx="0">
                  <c:v>0.2011</c:v>
                </c:pt>
                <c:pt idx="1">
                  <c:v>0.5254</c:v>
                </c:pt>
                <c:pt idx="2">
                  <c:v>0.2733</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单位发生网络安全事件种类</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全国从业专题A!$B$167</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全国从业专题A!$A$168:$A$174</c:f>
              <c:strCache>
                <c:ptCount val="7"/>
                <c:pt idx="0">
                  <c:v>其他</c:v>
                </c:pt>
                <c:pt idx="1">
                  <c:v>遭受拒绝服务攻击</c:v>
                </c:pt>
                <c:pt idx="2">
                  <c:v>网站被挂马或植入暗链</c:v>
                </c:pt>
                <c:pt idx="3">
                  <c:v>网络和信息系统瘫痪</c:v>
                </c:pt>
                <c:pt idx="4">
                  <c:v>数据信息泄露</c:v>
                </c:pt>
                <c:pt idx="5">
                  <c:v>感染病毒或恶意程序</c:v>
                </c:pt>
                <c:pt idx="6">
                  <c:v>单位网站被攻击</c:v>
                </c:pt>
              </c:strCache>
            </c:strRef>
          </c:cat>
          <c:val>
            <c:numRef>
              <c:f>全国从业专题A!$B$168:$B$174</c:f>
              <c:numCache>
                <c:formatCode>0.00%</c:formatCode>
                <c:ptCount val="7"/>
                <c:pt idx="0">
                  <c:v>0.0408</c:v>
                </c:pt>
                <c:pt idx="1">
                  <c:v>0.2396</c:v>
                </c:pt>
                <c:pt idx="2">
                  <c:v>0.2947</c:v>
                </c:pt>
                <c:pt idx="3">
                  <c:v>0.3055</c:v>
                </c:pt>
                <c:pt idx="4">
                  <c:v>0.3055</c:v>
                </c:pt>
                <c:pt idx="5">
                  <c:v>0.3484</c:v>
                </c:pt>
                <c:pt idx="6">
                  <c:v>0.5315</c:v>
                </c:pt>
              </c:numCache>
            </c:numRef>
          </c:val>
        </c:ser>
        <c:dLbls>
          <c:showLegendKey val="0"/>
          <c:showVal val="1"/>
          <c:showCatName val="0"/>
          <c:showSerName val="0"/>
          <c:showPercent val="0"/>
          <c:showBubbleSize val="0"/>
        </c:dLbls>
        <c:gapWidth val="182"/>
        <c:axId val="350343920"/>
        <c:axId val="350344312"/>
      </c:barChart>
      <c:catAx>
        <c:axId val="3503439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344312"/>
        <c:crosses val="autoZero"/>
        <c:auto val="1"/>
        <c:lblAlgn val="ctr"/>
        <c:lblOffset val="100"/>
        <c:noMultiLvlLbl val="0"/>
      </c:catAx>
      <c:valAx>
        <c:axId val="3503443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343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单位网络安全应急预案完善度</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全国从业专题A!$B$176</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全国从业专题A!$A$177:$A$182</c:f>
              <c:strCache>
                <c:ptCount val="6"/>
                <c:pt idx="0">
                  <c:v>很完善</c:v>
                </c:pt>
                <c:pt idx="1">
                  <c:v>较完善</c:v>
                </c:pt>
                <c:pt idx="2">
                  <c:v>一般</c:v>
                </c:pt>
                <c:pt idx="3">
                  <c:v>较不完善</c:v>
                </c:pt>
                <c:pt idx="4">
                  <c:v>很不完善</c:v>
                </c:pt>
                <c:pt idx="5">
                  <c:v>没有预案</c:v>
                </c:pt>
              </c:strCache>
            </c:strRef>
          </c:cat>
          <c:val>
            <c:numRef>
              <c:f>全国从业专题A!$B$177:$B$182</c:f>
              <c:numCache>
                <c:formatCode>0.00%</c:formatCode>
                <c:ptCount val="6"/>
                <c:pt idx="0">
                  <c:v>0.2744</c:v>
                </c:pt>
                <c:pt idx="1">
                  <c:v>0.3438</c:v>
                </c:pt>
                <c:pt idx="2">
                  <c:v>0.237</c:v>
                </c:pt>
                <c:pt idx="3">
                  <c:v>0.0773</c:v>
                </c:pt>
                <c:pt idx="4">
                  <c:v>0.0402</c:v>
                </c:pt>
                <c:pt idx="5">
                  <c:v>0.0269</c:v>
                </c:pt>
              </c:numCache>
            </c:numRef>
          </c:val>
        </c:ser>
        <c:dLbls>
          <c:showLegendKey val="0"/>
          <c:showVal val="1"/>
          <c:showCatName val="0"/>
          <c:showSerName val="0"/>
          <c:showPercent val="0"/>
          <c:showBubbleSize val="0"/>
        </c:dLbls>
        <c:gapWidth val="219"/>
        <c:overlap val="-27"/>
        <c:axId val="350345096"/>
        <c:axId val="350345488"/>
      </c:barChart>
      <c:catAx>
        <c:axId val="350345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345488"/>
        <c:crosses val="autoZero"/>
        <c:auto val="1"/>
        <c:lblAlgn val="ctr"/>
        <c:lblOffset val="100"/>
        <c:noMultiLvlLbl val="0"/>
      </c:catAx>
      <c:valAx>
        <c:axId val="3503454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345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单位网络安全事件报案情况</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全国从业专题A!$B$184</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全国从业专题A!$A$185:$A$188</c:f>
              <c:strCache>
                <c:ptCount val="4"/>
                <c:pt idx="0">
                  <c:v>报案了</c:v>
                </c:pt>
                <c:pt idx="1">
                  <c:v>没有报案</c:v>
                </c:pt>
                <c:pt idx="2">
                  <c:v>担心被处罚不敢报案</c:v>
                </c:pt>
                <c:pt idx="3">
                  <c:v>不知道如何报案</c:v>
                </c:pt>
              </c:strCache>
            </c:strRef>
          </c:cat>
          <c:val>
            <c:numRef>
              <c:f>全国从业专题A!$B$185:$B$188</c:f>
              <c:numCache>
                <c:formatCode>0.00%</c:formatCode>
                <c:ptCount val="4"/>
                <c:pt idx="0">
                  <c:v>0.5209</c:v>
                </c:pt>
                <c:pt idx="1">
                  <c:v>0.3249</c:v>
                </c:pt>
                <c:pt idx="2">
                  <c:v>0.0543</c:v>
                </c:pt>
                <c:pt idx="3">
                  <c:v>0.0996</c:v>
                </c:pt>
              </c:numCache>
            </c:numRef>
          </c:val>
        </c:ser>
        <c:dLbls>
          <c:showLegendKey val="0"/>
          <c:showVal val="1"/>
          <c:showCatName val="0"/>
          <c:showSerName val="0"/>
          <c:showPercent val="0"/>
          <c:showBubbleSize val="0"/>
        </c:dLbls>
        <c:gapWidth val="219"/>
        <c:overlap val="-27"/>
        <c:axId val="350346272"/>
        <c:axId val="350346664"/>
      </c:barChart>
      <c:catAx>
        <c:axId val="350346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346664"/>
        <c:crosses val="autoZero"/>
        <c:auto val="1"/>
        <c:lblAlgn val="ctr"/>
        <c:lblOffset val="100"/>
        <c:noMultiLvlLbl val="0"/>
      </c:catAx>
      <c:valAx>
        <c:axId val="3503466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346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公安机关网络安全案件受理工作评价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全国从业专题A!$B$190</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全国从业专题A!$A$191:$A$195</c:f>
              <c:strCache>
                <c:ptCount val="5"/>
                <c:pt idx="0">
                  <c:v>非常满意</c:v>
                </c:pt>
                <c:pt idx="1">
                  <c:v>满意</c:v>
                </c:pt>
                <c:pt idx="2">
                  <c:v>一般</c:v>
                </c:pt>
                <c:pt idx="3">
                  <c:v>不满意</c:v>
                </c:pt>
                <c:pt idx="4">
                  <c:v>非常不满意</c:v>
                </c:pt>
              </c:strCache>
            </c:strRef>
          </c:cat>
          <c:val>
            <c:numRef>
              <c:f>全国从业专题A!$B$191:$B$195</c:f>
              <c:numCache>
                <c:formatCode>0.00%</c:formatCode>
                <c:ptCount val="5"/>
                <c:pt idx="0">
                  <c:v>0.5349</c:v>
                </c:pt>
                <c:pt idx="1">
                  <c:v>0.3267</c:v>
                </c:pt>
                <c:pt idx="2">
                  <c:v>0.1107</c:v>
                </c:pt>
                <c:pt idx="3">
                  <c:v>0.0148</c:v>
                </c:pt>
                <c:pt idx="4">
                  <c:v>0.0127</c:v>
                </c:pt>
              </c:numCache>
            </c:numRef>
          </c:val>
        </c:ser>
        <c:dLbls>
          <c:showLegendKey val="0"/>
          <c:showVal val="1"/>
          <c:showCatName val="0"/>
          <c:showSerName val="0"/>
          <c:showPercent val="0"/>
          <c:showBubbleSize val="0"/>
        </c:dLbls>
        <c:gapWidth val="219"/>
        <c:overlap val="-27"/>
        <c:axId val="350347448"/>
        <c:axId val="350347840"/>
      </c:barChart>
      <c:catAx>
        <c:axId val="350347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347840"/>
        <c:crosses val="autoZero"/>
        <c:auto val="1"/>
        <c:lblAlgn val="ctr"/>
        <c:lblOffset val="100"/>
        <c:noMultiLvlLbl val="0"/>
      </c:catAx>
      <c:valAx>
        <c:axId val="3503478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347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公安机关网络安全案件受理不满意的原因</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全国从业专题A!$B$197</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全国从业专题A!$A$198:$A$204</c:f>
              <c:strCache>
                <c:ptCount val="7"/>
                <c:pt idx="0">
                  <c:v>处理不及时，效率低</c:v>
                </c:pt>
                <c:pt idx="1">
                  <c:v>其他</c:v>
                </c:pt>
                <c:pt idx="2">
                  <c:v>报警太麻烦</c:v>
                </c:pt>
                <c:pt idx="3">
                  <c:v>专业能力欠缺</c:v>
                </c:pt>
                <c:pt idx="4">
                  <c:v>执法范围小，立案门槛高</c:v>
                </c:pt>
                <c:pt idx="5">
                  <c:v>没有结果</c:v>
                </c:pt>
                <c:pt idx="6">
                  <c:v>打击力度不够，效果不明显</c:v>
                </c:pt>
              </c:strCache>
            </c:strRef>
          </c:cat>
          <c:val>
            <c:numRef>
              <c:f>全国从业专题A!$B$198:$B$204</c:f>
              <c:numCache>
                <c:formatCode>0.00%</c:formatCode>
                <c:ptCount val="7"/>
                <c:pt idx="0">
                  <c:v>0.0459</c:v>
                </c:pt>
                <c:pt idx="1">
                  <c:v>0.051</c:v>
                </c:pt>
                <c:pt idx="2">
                  <c:v>0.0663</c:v>
                </c:pt>
                <c:pt idx="3">
                  <c:v>0.0969</c:v>
                </c:pt>
                <c:pt idx="4">
                  <c:v>0.1683</c:v>
                </c:pt>
                <c:pt idx="5">
                  <c:v>0.2244</c:v>
                </c:pt>
                <c:pt idx="6">
                  <c:v>0.3469</c:v>
                </c:pt>
              </c:numCache>
            </c:numRef>
          </c:val>
        </c:ser>
        <c:dLbls>
          <c:showLegendKey val="0"/>
          <c:showVal val="1"/>
          <c:showCatName val="0"/>
          <c:showSerName val="0"/>
          <c:showPercent val="0"/>
          <c:showBubbleSize val="0"/>
        </c:dLbls>
        <c:gapWidth val="182"/>
        <c:axId val="350348624"/>
        <c:axId val="350349016"/>
      </c:barChart>
      <c:catAx>
        <c:axId val="350348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349016"/>
        <c:crosses val="autoZero"/>
        <c:auto val="1"/>
        <c:lblAlgn val="ctr"/>
        <c:lblOffset val="100"/>
        <c:noMultiLvlLbl val="0"/>
      </c:catAx>
      <c:valAx>
        <c:axId val="35034901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348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对关键信息基础设施安全保护要求的认识 </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全国从业专题A!$B$205:$B$206</c:f>
              <c:strCache>
                <c:ptCount val="1"/>
                <c:pt idx="0">
                  <c:v>您对关键信息基础设施安全保护要求了解吗？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全国从业专题A!$A$207:$A$210</c:f>
              <c:strCache>
                <c:ptCount val="4"/>
                <c:pt idx="0">
                  <c:v>了解，单位已经实施</c:v>
                </c:pt>
                <c:pt idx="1">
                  <c:v>了解，还没有实施</c:v>
                </c:pt>
                <c:pt idx="2">
                  <c:v>知道，不清楚具体要求</c:v>
                </c:pt>
                <c:pt idx="3">
                  <c:v>不了解</c:v>
                </c:pt>
              </c:strCache>
            </c:strRef>
          </c:cat>
          <c:val>
            <c:numRef>
              <c:f>全国从业专题A!$B$207:$B$210</c:f>
              <c:numCache>
                <c:formatCode>0.00%</c:formatCode>
                <c:ptCount val="4"/>
                <c:pt idx="0">
                  <c:v>0.4672</c:v>
                </c:pt>
                <c:pt idx="1">
                  <c:v>0.1532</c:v>
                </c:pt>
                <c:pt idx="2">
                  <c:v>0.188</c:v>
                </c:pt>
                <c:pt idx="3">
                  <c:v>0.1914</c:v>
                </c:pt>
              </c:numCache>
            </c:numRef>
          </c:val>
        </c:ser>
        <c:dLbls>
          <c:showLegendKey val="0"/>
          <c:showVal val="1"/>
          <c:showCatName val="0"/>
          <c:showSerName val="0"/>
          <c:showPercent val="0"/>
          <c:showBubbleSize val="0"/>
        </c:dLbls>
        <c:gapWidth val="219"/>
        <c:overlap val="-27"/>
        <c:axId val="350349800"/>
        <c:axId val="350350192"/>
      </c:barChart>
      <c:catAx>
        <c:axId val="350349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350192"/>
        <c:crosses val="autoZero"/>
        <c:auto val="1"/>
        <c:lblAlgn val="ctr"/>
        <c:lblOffset val="100"/>
        <c:noMultiLvlLbl val="0"/>
      </c:catAx>
      <c:valAx>
        <c:axId val="3503501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349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t>所在单位是否定期进行</a:t>
            </a:r>
            <a:r>
              <a:rPr lang="zh-CN" altLang="en-US"/>
              <a:t>网络</a:t>
            </a:r>
            <a:r>
              <a:rPr lang="zh-CN"/>
              <a:t>安全检查</a:t>
            </a:r>
            <a:endParaRPr lang="zh-CN"/>
          </a:p>
        </c:rich>
      </c:tx>
      <c:layout/>
      <c:overlay val="0"/>
      <c:spPr>
        <a:noFill/>
        <a:ln>
          <a:noFill/>
        </a:ln>
        <a:effectLst/>
      </c:spPr>
    </c:title>
    <c:autoTitleDeleted val="0"/>
    <c:plotArea>
      <c:layout/>
      <c:pieChart>
        <c:varyColors val="1"/>
        <c:ser>
          <c:idx val="0"/>
          <c:order val="0"/>
          <c:tx>
            <c:strRef>
              <c:f>全国从业专题A!$B$211:$B$212</c:f>
              <c:strCache>
                <c:ptCount val="1"/>
                <c:pt idx="0">
                  <c:v>您所在单位是否定期对重要的信息系统/业务系统进行安全检查？ 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2"/>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全国从业专题A!$A$213:$A$215</c:f>
              <c:strCache>
                <c:ptCount val="3"/>
                <c:pt idx="0">
                  <c:v>是</c:v>
                </c:pt>
                <c:pt idx="1">
                  <c:v>否</c:v>
                </c:pt>
                <c:pt idx="2">
                  <c:v>不了解</c:v>
                </c:pt>
              </c:strCache>
            </c:strRef>
          </c:cat>
          <c:val>
            <c:numRef>
              <c:f>全国从业专题A!$B$213:$B$215</c:f>
              <c:numCache>
                <c:formatCode>0.00%</c:formatCode>
                <c:ptCount val="3"/>
                <c:pt idx="0">
                  <c:v>0.721</c:v>
                </c:pt>
                <c:pt idx="1">
                  <c:v>0.102</c:v>
                </c:pt>
                <c:pt idx="2">
                  <c:v>0.1769</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对当前促进网络安全产品与服务发展的政策环境的评价 </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全国从业专题B!$B$5:$B$6</c:f>
              <c:strCache>
                <c:ptCount val="1"/>
                <c:pt idx="0">
                  <c:v>您认为当前促进网络安全产品与服务发展的政策环境如何？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全国从业专题B!$A$7:$A$11</c:f>
              <c:strCache>
                <c:ptCount val="5"/>
                <c:pt idx="0">
                  <c:v>非常好</c:v>
                </c:pt>
                <c:pt idx="1">
                  <c:v>好</c:v>
                </c:pt>
                <c:pt idx="2">
                  <c:v>一般</c:v>
                </c:pt>
                <c:pt idx="3">
                  <c:v>不好</c:v>
                </c:pt>
                <c:pt idx="4">
                  <c:v>非常不好</c:v>
                </c:pt>
              </c:strCache>
            </c:strRef>
          </c:cat>
          <c:val>
            <c:numRef>
              <c:f>全国从业专题B!$B$7:$B$11</c:f>
              <c:numCache>
                <c:formatCode>0.00%</c:formatCode>
                <c:ptCount val="5"/>
                <c:pt idx="0">
                  <c:v>0.2193</c:v>
                </c:pt>
                <c:pt idx="1">
                  <c:v>0.3954</c:v>
                </c:pt>
                <c:pt idx="2">
                  <c:v>0.3384</c:v>
                </c:pt>
                <c:pt idx="3">
                  <c:v>0.0305</c:v>
                </c:pt>
                <c:pt idx="4">
                  <c:v>0.0161</c:v>
                </c:pt>
              </c:numCache>
            </c:numRef>
          </c:val>
        </c:ser>
        <c:dLbls>
          <c:showLegendKey val="0"/>
          <c:showVal val="1"/>
          <c:showCatName val="0"/>
          <c:showSerName val="0"/>
          <c:showPercent val="0"/>
          <c:showBubbleSize val="0"/>
        </c:dLbls>
        <c:gapWidth val="219"/>
        <c:overlap val="-27"/>
        <c:axId val="350351368"/>
        <c:axId val="350351760"/>
      </c:barChart>
      <c:catAx>
        <c:axId val="350351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351760"/>
        <c:crosses val="autoZero"/>
        <c:auto val="1"/>
        <c:lblAlgn val="ctr"/>
        <c:lblOffset val="100"/>
        <c:noMultiLvlLbl val="0"/>
      </c:catAx>
      <c:valAx>
        <c:axId val="3503517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351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当前网络安全行业市场的需求变化</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全国从业专题B!$B$12:$B$13</c:f>
              <c:strCache>
                <c:ptCount val="1"/>
                <c:pt idx="0">
                  <c:v>相比以往您认为当前网络安全行业市场的需求变化如何？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全国从业专题B!$A$14:$A$18</c:f>
              <c:strCache>
                <c:ptCount val="5"/>
                <c:pt idx="0">
                  <c:v>明显上涨</c:v>
                </c:pt>
                <c:pt idx="1">
                  <c:v>略有上涨</c:v>
                </c:pt>
                <c:pt idx="2">
                  <c:v>没有变化</c:v>
                </c:pt>
                <c:pt idx="3">
                  <c:v>略有下降</c:v>
                </c:pt>
                <c:pt idx="4">
                  <c:v>明显下降</c:v>
                </c:pt>
              </c:strCache>
            </c:strRef>
          </c:cat>
          <c:val>
            <c:numRef>
              <c:f>全国从业专题B!$B$14:$B$18</c:f>
              <c:numCache>
                <c:formatCode>0.00%</c:formatCode>
                <c:ptCount val="5"/>
                <c:pt idx="0">
                  <c:v>0.5006</c:v>
                </c:pt>
                <c:pt idx="1">
                  <c:v>0.3859</c:v>
                </c:pt>
                <c:pt idx="2">
                  <c:v>0.0879</c:v>
                </c:pt>
                <c:pt idx="3">
                  <c:v>0.0185</c:v>
                </c:pt>
                <c:pt idx="4">
                  <c:v>0.0069</c:v>
                </c:pt>
              </c:numCache>
            </c:numRef>
          </c:val>
        </c:ser>
        <c:dLbls>
          <c:showLegendKey val="0"/>
          <c:showVal val="1"/>
          <c:showCatName val="0"/>
          <c:showSerName val="0"/>
          <c:showPercent val="0"/>
          <c:showBubbleSize val="0"/>
        </c:dLbls>
        <c:gapWidth val="219"/>
        <c:overlap val="-27"/>
        <c:axId val="350352544"/>
        <c:axId val="350352936"/>
      </c:barChart>
      <c:catAx>
        <c:axId val="350352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352936"/>
        <c:crosses val="autoZero"/>
        <c:auto val="1"/>
        <c:lblAlgn val="ctr"/>
        <c:lblOffset val="100"/>
        <c:noMultiLvlLbl val="0"/>
      </c:catAx>
      <c:valAx>
        <c:axId val="3503529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352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zh-CN" altLang="en-US" b="1"/>
              <a:t>工作单位分布占比</a:t>
            </a:r>
            <a:endParaRPr lang="zh-CN" altLang="en-US" b="1"/>
          </a:p>
        </c:rich>
      </c:tx>
      <c:layout>
        <c:manualLayout>
          <c:xMode val="edge"/>
          <c:yMode val="edge"/>
          <c:x val="0.336666666666667"/>
          <c:y val="0.03125"/>
        </c:manualLayout>
      </c:layout>
      <c:overlay val="0"/>
      <c:spPr>
        <a:noFill/>
        <a:ln>
          <a:noFill/>
        </a:ln>
        <a:effectLst/>
      </c:spPr>
    </c:title>
    <c:autoTitleDeleted val="0"/>
    <c:plotArea>
      <c:layout>
        <c:manualLayout>
          <c:layoutTarget val="inner"/>
          <c:xMode val="edge"/>
          <c:yMode val="edge"/>
          <c:x val="0.339912455232789"/>
          <c:y val="0.140394526390617"/>
          <c:w val="0.629314232656851"/>
          <c:h val="0.698133996801137"/>
        </c:manualLayout>
      </c:layout>
      <c:barChart>
        <c:barDir val="bar"/>
        <c:grouping val="clustered"/>
        <c:varyColors val="0"/>
        <c:ser>
          <c:idx val="0"/>
          <c:order val="0"/>
          <c:tx>
            <c:strRef>
              <c:f>[重庆从业人员.xlsx]主问卷!$C$42</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[重庆从业人员.xlsx]主问卷!$B$43:$B$49</c:f>
              <c:strCache>
                <c:ptCount val="7"/>
                <c:pt idx="0">
                  <c:v>行业协会与中介机构</c:v>
                </c:pt>
                <c:pt idx="1">
                  <c:v>政府网络安全监管机构</c:v>
                </c:pt>
                <c:pt idx="2">
                  <c:v>科研机构和院校</c:v>
                </c:pt>
                <c:pt idx="3">
                  <c:v>国有企事业单位用户</c:v>
                </c:pt>
                <c:pt idx="4">
                  <c:v>网络安全产品与服务提供商</c:v>
                </c:pt>
                <c:pt idx="5">
                  <c:v>网络服务营运商</c:v>
                </c:pt>
                <c:pt idx="6">
                  <c:v>一般互联网用户单位</c:v>
                </c:pt>
              </c:strCache>
            </c:strRef>
          </c:cat>
          <c:val>
            <c:numRef>
              <c:f>[重庆从业人员.xlsx]主问卷!$C$43:$C$49</c:f>
            </c:numRef>
          </c:val>
        </c:ser>
        <c:ser>
          <c:idx val="1"/>
          <c:order val="1"/>
          <c:tx>
            <c:strRef>
              <c:f>[重庆从业人员.xlsx]主问卷!$D$42</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[重庆从业人员.xlsx]主问卷!$B$43:$B$49</c:f>
              <c:strCache>
                <c:ptCount val="7"/>
                <c:pt idx="0">
                  <c:v>行业协会与中介机构</c:v>
                </c:pt>
                <c:pt idx="1">
                  <c:v>政府网络安全监管机构</c:v>
                </c:pt>
                <c:pt idx="2">
                  <c:v>科研机构和院校</c:v>
                </c:pt>
                <c:pt idx="3">
                  <c:v>国有企事业单位用户</c:v>
                </c:pt>
                <c:pt idx="4">
                  <c:v>网络安全产品与服务提供商</c:v>
                </c:pt>
                <c:pt idx="5">
                  <c:v>网络服务营运商</c:v>
                </c:pt>
                <c:pt idx="6">
                  <c:v>一般互联网用户单位</c:v>
                </c:pt>
              </c:strCache>
            </c:strRef>
          </c:cat>
          <c:val>
            <c:numRef>
              <c:f>[重庆从业人员.xlsx]主问卷!$D$43:$D$49</c:f>
              <c:numCache>
                <c:formatCode>0.00%</c:formatCode>
                <c:ptCount val="7"/>
                <c:pt idx="0">
                  <c:v>0.008</c:v>
                </c:pt>
                <c:pt idx="1">
                  <c:v>0.0307</c:v>
                </c:pt>
                <c:pt idx="2">
                  <c:v>0.0584</c:v>
                </c:pt>
                <c:pt idx="3">
                  <c:v>0.0922</c:v>
                </c:pt>
                <c:pt idx="4">
                  <c:v>0.1168</c:v>
                </c:pt>
                <c:pt idx="5">
                  <c:v>0.2323</c:v>
                </c:pt>
                <c:pt idx="6">
                  <c:v>0.4616</c:v>
                </c:pt>
              </c:numCache>
            </c:numRef>
          </c:val>
        </c:ser>
        <c:ser>
          <c:idx val="2"/>
          <c:order val="2"/>
          <c:tx>
            <c:strRef>
              <c:f>[重庆从业人员.xlsx]主问卷!$E$42</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[重庆从业人员.xlsx]主问卷!$B$43:$B$49</c:f>
              <c:strCache>
                <c:ptCount val="7"/>
                <c:pt idx="0">
                  <c:v>行业协会与中介机构</c:v>
                </c:pt>
                <c:pt idx="1">
                  <c:v>政府网络安全监管机构</c:v>
                </c:pt>
                <c:pt idx="2">
                  <c:v>科研机构和院校</c:v>
                </c:pt>
                <c:pt idx="3">
                  <c:v>国有企事业单位用户</c:v>
                </c:pt>
                <c:pt idx="4">
                  <c:v>网络安全产品与服务提供商</c:v>
                </c:pt>
                <c:pt idx="5">
                  <c:v>网络服务营运商</c:v>
                </c:pt>
                <c:pt idx="6">
                  <c:v>一般互联网用户单位</c:v>
                </c:pt>
              </c:strCache>
            </c:strRef>
          </c:cat>
          <c:val>
            <c:numRef>
              <c:f>[重庆从业人员.xlsx]主问卷!$E$43:$E$49</c:f>
            </c:numRef>
          </c:val>
        </c:ser>
        <c:ser>
          <c:idx val="3"/>
          <c:order val="3"/>
          <c:tx>
            <c:strRef>
              <c:f>[重庆从业人员.xlsx]主问卷!$F$42</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[重庆从业人员.xlsx]主问卷!$B$43:$B$49</c:f>
              <c:strCache>
                <c:ptCount val="7"/>
                <c:pt idx="0">
                  <c:v>行业协会与中介机构</c:v>
                </c:pt>
                <c:pt idx="1">
                  <c:v>政府网络安全监管机构</c:v>
                </c:pt>
                <c:pt idx="2">
                  <c:v>科研机构和院校</c:v>
                </c:pt>
                <c:pt idx="3">
                  <c:v>国有企事业单位用户</c:v>
                </c:pt>
                <c:pt idx="4">
                  <c:v>网络安全产品与服务提供商</c:v>
                </c:pt>
                <c:pt idx="5">
                  <c:v>网络服务营运商</c:v>
                </c:pt>
                <c:pt idx="6">
                  <c:v>一般互联网用户单位</c:v>
                </c:pt>
              </c:strCache>
            </c:strRef>
          </c:cat>
          <c:val>
            <c:numRef>
              <c:f>[重庆从业人员.xlsx]主问卷!$F$43:$F$49</c:f>
              <c:numCache>
                <c:formatCode>0.00%</c:formatCode>
                <c:ptCount val="7"/>
                <c:pt idx="0">
                  <c:v>0.0236</c:v>
                </c:pt>
                <c:pt idx="1">
                  <c:v>0.0568</c:v>
                </c:pt>
                <c:pt idx="2">
                  <c:v>0.0715</c:v>
                </c:pt>
                <c:pt idx="3">
                  <c:v>0.2818</c:v>
                </c:pt>
                <c:pt idx="4">
                  <c:v>0.0704</c:v>
                </c:pt>
                <c:pt idx="5">
                  <c:v>0.1737</c:v>
                </c:pt>
                <c:pt idx="6">
                  <c:v>0.3222</c:v>
                </c:pt>
              </c:numCache>
            </c:numRef>
          </c:val>
        </c:ser>
        <c:dLbls>
          <c:showLegendKey val="0"/>
          <c:showVal val="1"/>
          <c:showCatName val="0"/>
          <c:showSerName val="0"/>
          <c:showPercent val="0"/>
          <c:showBubbleSize val="0"/>
        </c:dLbls>
        <c:gapWidth val="182"/>
        <c:axId val="720595201"/>
        <c:axId val="452820119"/>
      </c:barChart>
      <c:catAx>
        <c:axId val="72059520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2820119"/>
        <c:crosses val="autoZero"/>
        <c:auto val="1"/>
        <c:lblAlgn val="ctr"/>
        <c:lblOffset val="100"/>
        <c:noMultiLvlLbl val="0"/>
      </c:catAx>
      <c:valAx>
        <c:axId val="45282011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059520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目前网络安全行业提供的网络安全保障水平评价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全国从业专题B!$B$19:$B$20</c:f>
              <c:strCache>
                <c:ptCount val="1"/>
                <c:pt idx="0">
                  <c:v>据您了解目前网络安全行业提供的网络安全保障水平如何？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全国从业专题B!$A$21:$A$25</c:f>
              <c:strCache>
                <c:ptCount val="5"/>
                <c:pt idx="0">
                  <c:v>非常高</c:v>
                </c:pt>
                <c:pt idx="1">
                  <c:v>比较高</c:v>
                </c:pt>
                <c:pt idx="2">
                  <c:v>中等</c:v>
                </c:pt>
                <c:pt idx="3">
                  <c:v>比较低</c:v>
                </c:pt>
                <c:pt idx="4">
                  <c:v>非常低</c:v>
                </c:pt>
              </c:strCache>
            </c:strRef>
          </c:cat>
          <c:val>
            <c:numRef>
              <c:f>全国从业专题B!$B$21:$B$25</c:f>
              <c:numCache>
                <c:formatCode>0.00%</c:formatCode>
                <c:ptCount val="5"/>
                <c:pt idx="0">
                  <c:v>0.163</c:v>
                </c:pt>
                <c:pt idx="1">
                  <c:v>0.4199</c:v>
                </c:pt>
                <c:pt idx="2">
                  <c:v>0.339</c:v>
                </c:pt>
                <c:pt idx="3">
                  <c:v>0.0619</c:v>
                </c:pt>
                <c:pt idx="4">
                  <c:v>0.0159</c:v>
                </c:pt>
              </c:numCache>
            </c:numRef>
          </c:val>
        </c:ser>
        <c:dLbls>
          <c:showLegendKey val="0"/>
          <c:showVal val="1"/>
          <c:showCatName val="0"/>
          <c:showSerName val="0"/>
          <c:showPercent val="0"/>
          <c:showBubbleSize val="0"/>
        </c:dLbls>
        <c:gapWidth val="219"/>
        <c:overlap val="-27"/>
        <c:axId val="350353720"/>
        <c:axId val="350354112"/>
      </c:barChart>
      <c:catAx>
        <c:axId val="350353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354112"/>
        <c:crosses val="autoZero"/>
        <c:auto val="1"/>
        <c:lblAlgn val="ctr"/>
        <c:lblOffset val="100"/>
        <c:noMultiLvlLbl val="0"/>
      </c:catAx>
      <c:valAx>
        <c:axId val="3503541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353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当前信息技术产业供应链安全问题的威胁</a:t>
            </a:r>
            <a:endParaRPr lang="zh-CN" altLang="en-US" b="1"/>
          </a:p>
        </c:rich>
      </c:tx>
      <c:layout>
        <c:manualLayout>
          <c:xMode val="edge"/>
          <c:yMode val="edge"/>
          <c:x val="0.189914163090129"/>
          <c:y val="0.0416666666666667"/>
        </c:manualLayout>
      </c:layout>
      <c:overlay val="0"/>
      <c:spPr>
        <a:noFill/>
        <a:ln>
          <a:noFill/>
        </a:ln>
        <a:effectLst/>
      </c:spPr>
    </c:title>
    <c:autoTitleDeleted val="0"/>
    <c:plotArea>
      <c:layout/>
      <c:barChart>
        <c:barDir val="col"/>
        <c:grouping val="clustered"/>
        <c:varyColors val="0"/>
        <c:ser>
          <c:idx val="0"/>
          <c:order val="0"/>
          <c:tx>
            <c:strRef>
              <c:f>全国从业专题B!$B$26:$B$27</c:f>
              <c:strCache>
                <c:ptCount val="1"/>
                <c:pt idx="0">
                  <c:v>您认为当前信息技术产业供应链安全问题的威胁如何？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全国从业专题B!$A$28:$A$32</c:f>
              <c:strCache>
                <c:ptCount val="5"/>
                <c:pt idx="0">
                  <c:v>非常高</c:v>
                </c:pt>
                <c:pt idx="1">
                  <c:v>比较高</c:v>
                </c:pt>
                <c:pt idx="2">
                  <c:v>中等</c:v>
                </c:pt>
                <c:pt idx="3">
                  <c:v>比较低</c:v>
                </c:pt>
                <c:pt idx="4">
                  <c:v>非常低</c:v>
                </c:pt>
              </c:strCache>
            </c:strRef>
          </c:cat>
          <c:val>
            <c:numRef>
              <c:f>全国从业专题B!$B$28:$B$32</c:f>
              <c:numCache>
                <c:formatCode>0.00%</c:formatCode>
                <c:ptCount val="5"/>
                <c:pt idx="0">
                  <c:v>0.1751</c:v>
                </c:pt>
                <c:pt idx="1">
                  <c:v>0.4035</c:v>
                </c:pt>
                <c:pt idx="2">
                  <c:v>0.344</c:v>
                </c:pt>
                <c:pt idx="3">
                  <c:v>0.0583</c:v>
                </c:pt>
                <c:pt idx="4">
                  <c:v>0.0188</c:v>
                </c:pt>
              </c:numCache>
            </c:numRef>
          </c:val>
        </c:ser>
        <c:dLbls>
          <c:showLegendKey val="0"/>
          <c:showVal val="1"/>
          <c:showCatName val="0"/>
          <c:showSerName val="0"/>
          <c:showPercent val="0"/>
          <c:showBubbleSize val="0"/>
        </c:dLbls>
        <c:gapWidth val="219"/>
        <c:overlap val="-27"/>
        <c:axId val="350354896"/>
        <c:axId val="350355288"/>
      </c:barChart>
      <c:catAx>
        <c:axId val="350354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355288"/>
        <c:crosses val="autoZero"/>
        <c:auto val="1"/>
        <c:lblAlgn val="ctr"/>
        <c:lblOffset val="100"/>
        <c:noMultiLvlLbl val="0"/>
      </c:catAx>
      <c:valAx>
        <c:axId val="3503552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354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当前网络安全产品与服务的资费水平</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全国从业专题B!$B$33:$B$34</c:f>
              <c:strCache>
                <c:ptCount val="1"/>
                <c:pt idx="0">
                  <c:v>您认为当前网络安全产品与服务的资费水平如何？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全国从业专题B!$A$35:$A$39</c:f>
              <c:strCache>
                <c:ptCount val="5"/>
                <c:pt idx="0">
                  <c:v>非常高</c:v>
                </c:pt>
                <c:pt idx="1">
                  <c:v>比较高</c:v>
                </c:pt>
                <c:pt idx="2">
                  <c:v>适中</c:v>
                </c:pt>
                <c:pt idx="3">
                  <c:v>比较低</c:v>
                </c:pt>
                <c:pt idx="4">
                  <c:v>非常低</c:v>
                </c:pt>
              </c:strCache>
            </c:strRef>
          </c:cat>
          <c:val>
            <c:numRef>
              <c:f>全国从业专题B!$B$35:$B$39</c:f>
              <c:numCache>
                <c:formatCode>0.00%</c:formatCode>
                <c:ptCount val="5"/>
                <c:pt idx="0">
                  <c:v>0.1648</c:v>
                </c:pt>
                <c:pt idx="1">
                  <c:v>0.3989</c:v>
                </c:pt>
                <c:pt idx="2">
                  <c:v>0.359</c:v>
                </c:pt>
                <c:pt idx="3">
                  <c:v>0.0609</c:v>
                </c:pt>
                <c:pt idx="4">
                  <c:v>0.0162</c:v>
                </c:pt>
              </c:numCache>
            </c:numRef>
          </c:val>
        </c:ser>
        <c:dLbls>
          <c:showLegendKey val="0"/>
          <c:showVal val="1"/>
          <c:showCatName val="0"/>
          <c:showSerName val="0"/>
          <c:showPercent val="0"/>
          <c:showBubbleSize val="0"/>
        </c:dLbls>
        <c:gapWidth val="219"/>
        <c:overlap val="-27"/>
        <c:axId val="350356072"/>
        <c:axId val="350356464"/>
      </c:barChart>
      <c:catAx>
        <c:axId val="350356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356464"/>
        <c:crosses val="autoZero"/>
        <c:auto val="1"/>
        <c:lblAlgn val="ctr"/>
        <c:lblOffset val="100"/>
        <c:noMultiLvlLbl val="0"/>
      </c:catAx>
      <c:valAx>
        <c:axId val="3503564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356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当前网络安全产品与服务存在的不足之处</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全国从业专题B!$B$40:$B$41</c:f>
              <c:strCache>
                <c:ptCount val="1"/>
                <c:pt idx="0">
                  <c:v>您认为当前网络安全产品与服务存在的不足之处是？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全国从业专题B!$A$42:$A$47</c:f>
              <c:strCache>
                <c:ptCount val="6"/>
                <c:pt idx="0">
                  <c:v>体验差</c:v>
                </c:pt>
                <c:pt idx="1">
                  <c:v>性能低</c:v>
                </c:pt>
                <c:pt idx="2">
                  <c:v>服务不到位</c:v>
                </c:pt>
                <c:pt idx="3">
                  <c:v>可靠性差</c:v>
                </c:pt>
                <c:pt idx="4">
                  <c:v>核心技术依赖进口</c:v>
                </c:pt>
                <c:pt idx="5">
                  <c:v>创新能力不足</c:v>
                </c:pt>
              </c:strCache>
            </c:strRef>
          </c:cat>
          <c:val>
            <c:numRef>
              <c:f>全国从业专题B!$B$42:$B$47</c:f>
              <c:numCache>
                <c:formatCode>0%</c:formatCode>
                <c:ptCount val="6"/>
                <c:pt idx="0">
                  <c:v>0.34</c:v>
                </c:pt>
                <c:pt idx="1" c:formatCode="0.00%">
                  <c:v>0.3824</c:v>
                </c:pt>
                <c:pt idx="2" c:formatCode="0.00%">
                  <c:v>0.3844</c:v>
                </c:pt>
                <c:pt idx="3" c:formatCode="0.00%">
                  <c:v>0.4284</c:v>
                </c:pt>
                <c:pt idx="4" c:formatCode="0.00%">
                  <c:v>0.5303</c:v>
                </c:pt>
                <c:pt idx="5" c:formatCode="0.00%">
                  <c:v>0.6032</c:v>
                </c:pt>
              </c:numCache>
            </c:numRef>
          </c:val>
        </c:ser>
        <c:dLbls>
          <c:showLegendKey val="0"/>
          <c:showVal val="1"/>
          <c:showCatName val="0"/>
          <c:showSerName val="0"/>
          <c:showPercent val="0"/>
          <c:showBubbleSize val="0"/>
        </c:dLbls>
        <c:gapWidth val="182"/>
        <c:axId val="350357248"/>
        <c:axId val="350357640"/>
      </c:barChart>
      <c:catAx>
        <c:axId val="350357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357640"/>
        <c:crosses val="autoZero"/>
        <c:auto val="1"/>
        <c:lblAlgn val="ctr"/>
        <c:lblOffset val="100"/>
        <c:noMultiLvlLbl val="0"/>
      </c:catAx>
      <c:valAx>
        <c:axId val="35035764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357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200" b="1" i="0" u="none" strike="noStrike" kern="1200" cap="all" baseline="0">
                <a:solidFill>
                  <a:schemeClr val="tx1">
                    <a:lumMod val="65000"/>
                    <a:lumOff val="35000"/>
                  </a:schemeClr>
                </a:solidFill>
                <a:latin typeface="+mn-lt"/>
                <a:ea typeface="+mn-ea"/>
                <a:cs typeface="+mn-cs"/>
              </a:defRPr>
            </a:pPr>
            <a:r>
              <a:rPr lang="zh-CN" altLang="en-US" sz="1200"/>
              <a:t>当前网络安全产品与服务是否应实行等级评价管理 </a:t>
            </a:r>
            <a:endParaRPr lang="zh-CN" altLang="en-US" sz="1200"/>
          </a:p>
        </c:rich>
      </c:tx>
      <c:layout>
        <c:manualLayout>
          <c:xMode val="edge"/>
          <c:yMode val="edge"/>
          <c:x val="0.167220564672081"/>
          <c:y val="0.0416666666666667"/>
        </c:manualLayout>
      </c:layout>
      <c:overlay val="0"/>
      <c:spPr>
        <a:noFill/>
        <a:ln>
          <a:noFill/>
        </a:ln>
        <a:effectLst/>
      </c:spPr>
    </c:title>
    <c:autoTitleDeleted val="0"/>
    <c:plotArea>
      <c:layout/>
      <c:pieChart>
        <c:varyColors val="1"/>
        <c:ser>
          <c:idx val="0"/>
          <c:order val="0"/>
          <c:tx>
            <c:strRef>
              <c:f>全国从业专题B!$B$48:$B$49</c:f>
              <c:strCache>
                <c:ptCount val="1"/>
                <c:pt idx="0">
                  <c:v>您认为当前网络安全产品与服务是否应该实行等级评价管理？ 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全国从业专题B!$A$50:$A$51</c:f>
              <c:strCache>
                <c:ptCount val="2"/>
                <c:pt idx="0">
                  <c:v>是</c:v>
                </c:pt>
                <c:pt idx="1">
                  <c:v>否</c:v>
                </c:pt>
              </c:strCache>
            </c:strRef>
          </c:cat>
          <c:val>
            <c:numRef>
              <c:f>全国从业专题B!$B$50:$B$51</c:f>
              <c:numCache>
                <c:formatCode>0.00%</c:formatCode>
                <c:ptCount val="2"/>
                <c:pt idx="0">
                  <c:v>0.9061</c:v>
                </c:pt>
                <c:pt idx="1">
                  <c:v>0.0938</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当前网络安全技术人才数量评价</a:t>
            </a:r>
            <a:endParaRPr lang="zh-CN" altLang="en-US" b="1"/>
          </a:p>
        </c:rich>
      </c:tx>
      <c:layout>
        <c:manualLayout>
          <c:xMode val="edge"/>
          <c:yMode val="edge"/>
          <c:x val="0.252779836916234"/>
          <c:y val="0.0316085225942402"/>
        </c:manualLayout>
      </c:layout>
      <c:overlay val="0"/>
      <c:spPr>
        <a:noFill/>
        <a:ln>
          <a:noFill/>
        </a:ln>
        <a:effectLst/>
      </c:spPr>
    </c:title>
    <c:autoTitleDeleted val="0"/>
    <c:plotArea>
      <c:layout/>
      <c:barChart>
        <c:barDir val="col"/>
        <c:grouping val="clustered"/>
        <c:varyColors val="0"/>
        <c:ser>
          <c:idx val="0"/>
          <c:order val="0"/>
          <c:tx>
            <c:strRef>
              <c:f>全国从业专题B!$B$52:$B$53</c:f>
              <c:strCache>
                <c:ptCount val="1"/>
                <c:pt idx="0">
                  <c:v>您认为当前网络安全技术人才数量如何？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全国从业专题B!$A$54:$A$58</c:f>
              <c:strCache>
                <c:ptCount val="5"/>
                <c:pt idx="0">
                  <c:v>非常充足</c:v>
                </c:pt>
                <c:pt idx="1">
                  <c:v>比较充足</c:v>
                </c:pt>
                <c:pt idx="2">
                  <c:v>一般</c:v>
                </c:pt>
                <c:pt idx="3">
                  <c:v>有些缺乏</c:v>
                </c:pt>
                <c:pt idx="4">
                  <c:v>严重不足</c:v>
                </c:pt>
              </c:strCache>
            </c:strRef>
          </c:cat>
          <c:val>
            <c:numRef>
              <c:f>全国从业专题B!$B$54:$B$58</c:f>
              <c:numCache>
                <c:formatCode>0.00%</c:formatCode>
                <c:ptCount val="5"/>
                <c:pt idx="0">
                  <c:v>0.0904</c:v>
                </c:pt>
                <c:pt idx="1">
                  <c:v>0.2264</c:v>
                </c:pt>
                <c:pt idx="2">
                  <c:v>0.3795</c:v>
                </c:pt>
                <c:pt idx="3">
                  <c:v>0.2231</c:v>
                </c:pt>
                <c:pt idx="4">
                  <c:v>0.0803</c:v>
                </c:pt>
              </c:numCache>
            </c:numRef>
          </c:val>
        </c:ser>
        <c:dLbls>
          <c:showLegendKey val="0"/>
          <c:showVal val="1"/>
          <c:showCatName val="0"/>
          <c:showSerName val="0"/>
          <c:showPercent val="0"/>
          <c:showBubbleSize val="0"/>
        </c:dLbls>
        <c:gapWidth val="219"/>
        <c:overlap val="-27"/>
        <c:axId val="350358816"/>
        <c:axId val="350359208"/>
      </c:barChart>
      <c:catAx>
        <c:axId val="350358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359208"/>
        <c:crosses val="autoZero"/>
        <c:auto val="1"/>
        <c:lblAlgn val="ctr"/>
        <c:lblOffset val="100"/>
        <c:noMultiLvlLbl val="0"/>
      </c:catAx>
      <c:valAx>
        <c:axId val="3503592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358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当前网络安全测评机构数量评价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全国从业专题B!$B$59:$B$60</c:f>
              <c:strCache>
                <c:ptCount val="1"/>
                <c:pt idx="0">
                  <c:v>您认为当前网络安全测评机构数量如何？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全国从业专题B!$A$61:$A$65</c:f>
              <c:strCache>
                <c:ptCount val="5"/>
                <c:pt idx="0">
                  <c:v>非常充足</c:v>
                </c:pt>
                <c:pt idx="1">
                  <c:v>比较充足</c:v>
                </c:pt>
                <c:pt idx="2">
                  <c:v>一般</c:v>
                </c:pt>
                <c:pt idx="3">
                  <c:v>有些缺乏</c:v>
                </c:pt>
                <c:pt idx="4">
                  <c:v>严重不足</c:v>
                </c:pt>
              </c:strCache>
            </c:strRef>
          </c:cat>
          <c:val>
            <c:numRef>
              <c:f>全国从业专题B!$B$61:$B$65</c:f>
              <c:numCache>
                <c:formatCode>0.00%</c:formatCode>
                <c:ptCount val="5"/>
                <c:pt idx="0">
                  <c:v>0.1074</c:v>
                </c:pt>
                <c:pt idx="1">
                  <c:v>0.2167</c:v>
                </c:pt>
                <c:pt idx="2" c:formatCode="0%">
                  <c:v>0.45</c:v>
                </c:pt>
                <c:pt idx="3">
                  <c:v>0.1698</c:v>
                </c:pt>
                <c:pt idx="4">
                  <c:v>0.0559</c:v>
                </c:pt>
              </c:numCache>
            </c:numRef>
          </c:val>
        </c:ser>
        <c:dLbls>
          <c:showLegendKey val="0"/>
          <c:showVal val="1"/>
          <c:showCatName val="0"/>
          <c:showSerName val="0"/>
          <c:showPercent val="0"/>
          <c:showBubbleSize val="0"/>
        </c:dLbls>
        <c:gapWidth val="219"/>
        <c:overlap val="-27"/>
        <c:axId val="339354392"/>
        <c:axId val="339354784"/>
      </c:barChart>
      <c:catAx>
        <c:axId val="339354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54784"/>
        <c:crosses val="autoZero"/>
        <c:auto val="1"/>
        <c:lblAlgn val="ctr"/>
        <c:lblOffset val="100"/>
        <c:noMultiLvlLbl val="0"/>
      </c:catAx>
      <c:valAx>
        <c:axId val="3393547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54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对测评机构提供服务的需求</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全国从业专题B!$B$66:$B$67</c:f>
              <c:strCache>
                <c:ptCount val="1"/>
                <c:pt idx="0">
                  <c:v>您所在单位还需要测评机构提供哪些服务？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全国从业专题B!$A$68:$A$74</c:f>
              <c:strCache>
                <c:ptCount val="7"/>
                <c:pt idx="0">
                  <c:v>其他</c:v>
                </c:pt>
                <c:pt idx="1">
                  <c:v>整改方案设计</c:v>
                </c:pt>
                <c:pt idx="2">
                  <c:v>应急演练</c:v>
                </c:pt>
                <c:pt idx="3">
                  <c:v>攻防演练</c:v>
                </c:pt>
                <c:pt idx="4">
                  <c:v>安全咨询</c:v>
                </c:pt>
                <c:pt idx="5">
                  <c:v>安全监理</c:v>
                </c:pt>
                <c:pt idx="6">
                  <c:v>安全运维</c:v>
                </c:pt>
              </c:strCache>
            </c:strRef>
          </c:cat>
          <c:val>
            <c:numRef>
              <c:f>全国从业专题B!$B$68:$B$74</c:f>
              <c:numCache>
                <c:formatCode>0.00%</c:formatCode>
                <c:ptCount val="7"/>
                <c:pt idx="0">
                  <c:v>0.0587</c:v>
                </c:pt>
                <c:pt idx="1">
                  <c:v>0.4028</c:v>
                </c:pt>
                <c:pt idx="2">
                  <c:v>0.4959</c:v>
                </c:pt>
                <c:pt idx="3">
                  <c:v>0.5055</c:v>
                </c:pt>
                <c:pt idx="4">
                  <c:v>0.5211</c:v>
                </c:pt>
                <c:pt idx="5">
                  <c:v>0.5588</c:v>
                </c:pt>
                <c:pt idx="6">
                  <c:v>0.6083</c:v>
                </c:pt>
              </c:numCache>
            </c:numRef>
          </c:val>
        </c:ser>
        <c:dLbls>
          <c:showLegendKey val="0"/>
          <c:showVal val="1"/>
          <c:showCatName val="0"/>
          <c:showSerName val="0"/>
          <c:showPercent val="0"/>
          <c:showBubbleSize val="0"/>
        </c:dLbls>
        <c:gapWidth val="182"/>
        <c:axId val="339355568"/>
        <c:axId val="339355960"/>
      </c:barChart>
      <c:catAx>
        <c:axId val="3393555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55960"/>
        <c:crosses val="autoZero"/>
        <c:auto val="1"/>
        <c:lblAlgn val="ctr"/>
        <c:lblOffset val="100"/>
        <c:noMultiLvlLbl val="0"/>
      </c:catAx>
      <c:valAx>
        <c:axId val="33935596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55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制约网络安全行业发展的主要障碍</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全国从业专题B!$B$75:$B$76</c:f>
              <c:strCache>
                <c:ptCount val="1"/>
                <c:pt idx="0">
                  <c:v>您认为制约网络安全行业发展的主要障碍是什么？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全国从业专题B!$A$77:$A$82</c:f>
              <c:strCache>
                <c:ptCount val="6"/>
                <c:pt idx="0">
                  <c:v>其他</c:v>
                </c:pt>
                <c:pt idx="1">
                  <c:v>管理</c:v>
                </c:pt>
                <c:pt idx="2">
                  <c:v>政策</c:v>
                </c:pt>
                <c:pt idx="3">
                  <c:v>资金</c:v>
                </c:pt>
                <c:pt idx="4">
                  <c:v>技术</c:v>
                </c:pt>
                <c:pt idx="5">
                  <c:v>人才</c:v>
                </c:pt>
              </c:strCache>
            </c:strRef>
          </c:cat>
          <c:val>
            <c:numRef>
              <c:f>全国从业专题B!$B$77:$B$82</c:f>
              <c:numCache>
                <c:formatCode>0.00%</c:formatCode>
                <c:ptCount val="6"/>
                <c:pt idx="0">
                  <c:v>0.0485</c:v>
                </c:pt>
                <c:pt idx="1">
                  <c:v>0.5045</c:v>
                </c:pt>
                <c:pt idx="2">
                  <c:v>0.5653</c:v>
                </c:pt>
                <c:pt idx="3">
                  <c:v>0.6065</c:v>
                </c:pt>
                <c:pt idx="4">
                  <c:v>0.7157</c:v>
                </c:pt>
                <c:pt idx="5">
                  <c:v>0.7341</c:v>
                </c:pt>
              </c:numCache>
            </c:numRef>
          </c:val>
        </c:ser>
        <c:dLbls>
          <c:showLegendKey val="0"/>
          <c:showVal val="1"/>
          <c:showCatName val="0"/>
          <c:showSerName val="0"/>
          <c:showPercent val="0"/>
          <c:showBubbleSize val="0"/>
        </c:dLbls>
        <c:gapWidth val="182"/>
        <c:axId val="339356744"/>
        <c:axId val="339357136"/>
      </c:barChart>
      <c:catAx>
        <c:axId val="3393567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57136"/>
        <c:crosses val="autoZero"/>
        <c:auto val="1"/>
        <c:lblAlgn val="ctr"/>
        <c:lblOffset val="100"/>
        <c:noMultiLvlLbl val="0"/>
      </c:catAx>
      <c:valAx>
        <c:axId val="33935713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56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网络安全行业未来一年发展的趋势评价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全国从业专题B!$B$83:$B$84</c:f>
              <c:strCache>
                <c:ptCount val="1"/>
                <c:pt idx="0">
                  <c:v>您认为网络安全行业未来一年发展的趋势如何？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全国从业专题B!$A$85:$A$89</c:f>
              <c:strCache>
                <c:ptCount val="5"/>
                <c:pt idx="0">
                  <c:v>明显增长</c:v>
                </c:pt>
                <c:pt idx="1">
                  <c:v>略有增长</c:v>
                </c:pt>
                <c:pt idx="2">
                  <c:v>持平</c:v>
                </c:pt>
                <c:pt idx="3">
                  <c:v>略有下滑</c:v>
                </c:pt>
                <c:pt idx="4">
                  <c:v>明显下滑</c:v>
                </c:pt>
              </c:strCache>
            </c:strRef>
          </c:cat>
          <c:val>
            <c:numRef>
              <c:f>全国从业专题B!$B$85:$B$89</c:f>
              <c:numCache>
                <c:formatCode>0.00%</c:formatCode>
                <c:ptCount val="5"/>
                <c:pt idx="0">
                  <c:v>0.3699</c:v>
                </c:pt>
                <c:pt idx="1">
                  <c:v>0.4243</c:v>
                </c:pt>
                <c:pt idx="2">
                  <c:v>0.1572</c:v>
                </c:pt>
                <c:pt idx="3">
                  <c:v>0.0343</c:v>
                </c:pt>
                <c:pt idx="4">
                  <c:v>0.014</c:v>
                </c:pt>
              </c:numCache>
            </c:numRef>
          </c:val>
        </c:ser>
        <c:dLbls>
          <c:showLegendKey val="0"/>
          <c:showVal val="1"/>
          <c:showCatName val="0"/>
          <c:showSerName val="0"/>
          <c:showPercent val="0"/>
          <c:showBubbleSize val="0"/>
        </c:dLbls>
        <c:gapWidth val="219"/>
        <c:overlap val="-27"/>
        <c:axId val="339357920"/>
        <c:axId val="339358312"/>
      </c:barChart>
      <c:catAx>
        <c:axId val="339357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58312"/>
        <c:crosses val="autoZero"/>
        <c:auto val="1"/>
        <c:lblAlgn val="ctr"/>
        <c:lblOffset val="100"/>
        <c:noMultiLvlLbl val="0"/>
      </c:catAx>
      <c:valAx>
        <c:axId val="3393583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57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zh-CN" altLang="en-US" b="1"/>
              <a:t>网民安全感评价分布图</a:t>
            </a:r>
            <a:endParaRPr lang="zh-CN" altLang="en-US" b="1"/>
          </a:p>
        </c:rich>
      </c:tx>
      <c:layout/>
      <c:overlay val="0"/>
      <c:spPr>
        <a:noFill/>
        <a:ln>
          <a:noFill/>
        </a:ln>
        <a:effectLst/>
      </c:spPr>
    </c:title>
    <c:autoTitleDeleted val="0"/>
    <c:plotArea>
      <c:layout/>
      <c:barChart>
        <c:barDir val="col"/>
        <c:grouping val="clustered"/>
        <c:varyColors val="0"/>
        <c:ser>
          <c:idx val="0"/>
          <c:order val="0"/>
          <c:tx>
            <c:strRef>
              <c:f>[重庆从业人员.xlsx]主问卷!$C$53</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[重庆从业人员.xlsx]主问卷!$B$54:$B$58</c:f>
              <c:strCache>
                <c:ptCount val="5"/>
                <c:pt idx="0">
                  <c:v>非常安全</c:v>
                </c:pt>
                <c:pt idx="1">
                  <c:v>安全</c:v>
                </c:pt>
                <c:pt idx="2">
                  <c:v>一般</c:v>
                </c:pt>
                <c:pt idx="3">
                  <c:v>不安全</c:v>
                </c:pt>
                <c:pt idx="4">
                  <c:v>非常不安全</c:v>
                </c:pt>
              </c:strCache>
            </c:strRef>
          </c:cat>
          <c:val>
            <c:numRef>
              <c:f>[重庆从业人员.xlsx]主问卷!$C$54:$C$58</c:f>
            </c:numRef>
          </c:val>
        </c:ser>
        <c:ser>
          <c:idx val="1"/>
          <c:order val="1"/>
          <c:tx>
            <c:strRef>
              <c:f>[重庆从业人员.xlsx]主问卷!$D$53</c:f>
              <c:strCache>
                <c:ptCount val="1"/>
                <c:pt idx="0">
                  <c:v>重庆占比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[重庆从业人员.xlsx]主问卷!$B$54:$B$58</c:f>
              <c:strCache>
                <c:ptCount val="5"/>
                <c:pt idx="0">
                  <c:v>非常安全</c:v>
                </c:pt>
                <c:pt idx="1">
                  <c:v>安全</c:v>
                </c:pt>
                <c:pt idx="2">
                  <c:v>一般</c:v>
                </c:pt>
                <c:pt idx="3">
                  <c:v>不安全</c:v>
                </c:pt>
                <c:pt idx="4">
                  <c:v>非常不安全</c:v>
                </c:pt>
              </c:strCache>
            </c:strRef>
          </c:cat>
          <c:val>
            <c:numRef>
              <c:f>[重庆从业人员.xlsx]主问卷!$D$54:$D$58</c:f>
              <c:numCache>
                <c:formatCode>0.00%</c:formatCode>
                <c:ptCount val="5"/>
                <c:pt idx="0">
                  <c:v>0.1407</c:v>
                </c:pt>
                <c:pt idx="1">
                  <c:v>0.3921</c:v>
                </c:pt>
                <c:pt idx="2">
                  <c:v>0.338</c:v>
                </c:pt>
                <c:pt idx="3">
                  <c:v>0.0854</c:v>
                </c:pt>
                <c:pt idx="4">
                  <c:v>0.0436</c:v>
                </c:pt>
              </c:numCache>
            </c:numRef>
          </c:val>
        </c:ser>
        <c:ser>
          <c:idx val="2"/>
          <c:order val="2"/>
          <c:tx>
            <c:strRef>
              <c:f>[重庆从业人员.xlsx]主问卷!$E$53</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[重庆从业人员.xlsx]主问卷!$B$54:$B$58</c:f>
              <c:strCache>
                <c:ptCount val="5"/>
                <c:pt idx="0">
                  <c:v>非常安全</c:v>
                </c:pt>
                <c:pt idx="1">
                  <c:v>安全</c:v>
                </c:pt>
                <c:pt idx="2">
                  <c:v>一般</c:v>
                </c:pt>
                <c:pt idx="3">
                  <c:v>不安全</c:v>
                </c:pt>
                <c:pt idx="4">
                  <c:v>非常不安全</c:v>
                </c:pt>
              </c:strCache>
            </c:strRef>
          </c:cat>
          <c:val>
            <c:numRef>
              <c:f>[重庆从业人员.xlsx]主问卷!$E$54:$E$58</c:f>
            </c:numRef>
          </c:val>
        </c:ser>
        <c:ser>
          <c:idx val="3"/>
          <c:order val="3"/>
          <c:tx>
            <c:strRef>
              <c:f>[重庆从业人员.xlsx]主问卷!$F$53</c:f>
              <c:strCache>
                <c:ptCount val="1"/>
                <c:pt idx="0">
                  <c:v>全国占比</c:v>
                </c:pt>
              </c:strCache>
            </c:strRef>
          </c:tx>
          <c:spPr>
            <a:solidFill>
              <a:schemeClr val="accent4"/>
            </a:solidFill>
            <a:ln>
              <a:noFill/>
            </a:ln>
            <a:effectLst/>
          </c:spPr>
          <c:invertIfNegative val="0"/>
          <c:dLbls>
            <c:dLbl>
              <c:idx val="1"/>
              <c:layout>
                <c:manualLayout>
                  <c:x val="0.00668979187314172"/>
                  <c:y val="-0.01862925482980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61050545094153"/>
                  <c:y val="-0.0312787488500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842418235877106"/>
                  <c:y val="0.00620975160993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35034687809713"/>
                  <c:y val="0.003219871205151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[重庆从业人员.xlsx]主问卷!$B$54:$B$58</c:f>
              <c:strCache>
                <c:ptCount val="5"/>
                <c:pt idx="0">
                  <c:v>非常安全</c:v>
                </c:pt>
                <c:pt idx="1">
                  <c:v>安全</c:v>
                </c:pt>
                <c:pt idx="2">
                  <c:v>一般</c:v>
                </c:pt>
                <c:pt idx="3">
                  <c:v>不安全</c:v>
                </c:pt>
                <c:pt idx="4">
                  <c:v>非常不安全</c:v>
                </c:pt>
              </c:strCache>
            </c:strRef>
          </c:cat>
          <c:val>
            <c:numRef>
              <c:f>[重庆从业人员.xlsx]主问卷!$F$54:$F$58</c:f>
              <c:numCache>
                <c:formatCode>0.00%</c:formatCode>
                <c:ptCount val="5"/>
                <c:pt idx="0">
                  <c:v>0.1658</c:v>
                </c:pt>
                <c:pt idx="1">
                  <c:v>0.402</c:v>
                </c:pt>
                <c:pt idx="2">
                  <c:v>0.3416</c:v>
                </c:pt>
                <c:pt idx="3">
                  <c:v>0.0696</c:v>
                </c:pt>
                <c:pt idx="4">
                  <c:v>0.021</c:v>
                </c:pt>
              </c:numCache>
            </c:numRef>
          </c:val>
        </c:ser>
        <c:dLbls>
          <c:showLegendKey val="0"/>
          <c:showVal val="1"/>
          <c:showCatName val="0"/>
          <c:showSerName val="0"/>
          <c:showPercent val="0"/>
          <c:showBubbleSize val="0"/>
        </c:dLbls>
        <c:gapWidth val="219"/>
        <c:overlap val="-27"/>
        <c:axId val="482868857"/>
        <c:axId val="922313776"/>
      </c:barChart>
      <c:catAx>
        <c:axId val="48286885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2313776"/>
        <c:crosses val="autoZero"/>
        <c:auto val="1"/>
        <c:lblAlgn val="ctr"/>
        <c:lblOffset val="100"/>
        <c:noMultiLvlLbl val="0"/>
      </c:catAx>
      <c:valAx>
        <c:axId val="9223137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286885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网络安全行业协会等社会组织各类服务情况</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全国从业专题B!$B$90:$B$91</c:f>
              <c:strCache>
                <c:ptCount val="1"/>
                <c:pt idx="0">
                  <c:v>您使用过哪些由网络安全相关行业协会、技术联盟等社会组织提供的服务？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全国从业专题B!$A$92:$A$99</c:f>
              <c:strCache>
                <c:ptCount val="8"/>
                <c:pt idx="0">
                  <c:v>比武竞赛</c:v>
                </c:pt>
                <c:pt idx="1">
                  <c:v>没有使用过</c:v>
                </c:pt>
                <c:pt idx="2">
                  <c:v>标准制定</c:v>
                </c:pt>
                <c:pt idx="3">
                  <c:v>职称评审</c:v>
                </c:pt>
                <c:pt idx="4">
                  <c:v>政策宣贯</c:v>
                </c:pt>
                <c:pt idx="5">
                  <c:v>资质认证</c:v>
                </c:pt>
                <c:pt idx="6">
                  <c:v>继续教育</c:v>
                </c:pt>
                <c:pt idx="7">
                  <c:v>技术培训</c:v>
                </c:pt>
              </c:strCache>
            </c:strRef>
          </c:cat>
          <c:val>
            <c:numRef>
              <c:f>全国从业专题B!$B$92:$B$99</c:f>
              <c:numCache>
                <c:formatCode>0.00%</c:formatCode>
                <c:ptCount val="8"/>
                <c:pt idx="0">
                  <c:v>0.1284</c:v>
                </c:pt>
                <c:pt idx="1">
                  <c:v>0.2387</c:v>
                </c:pt>
                <c:pt idx="2">
                  <c:v>0.2495</c:v>
                </c:pt>
                <c:pt idx="3">
                  <c:v>0.2683</c:v>
                </c:pt>
                <c:pt idx="4">
                  <c:v>0.3231</c:v>
                </c:pt>
                <c:pt idx="5">
                  <c:v>0.3722</c:v>
                </c:pt>
                <c:pt idx="6">
                  <c:v>0.3865</c:v>
                </c:pt>
                <c:pt idx="7">
                  <c:v>0.5311</c:v>
                </c:pt>
              </c:numCache>
            </c:numRef>
          </c:val>
        </c:ser>
        <c:dLbls>
          <c:showLegendKey val="0"/>
          <c:showVal val="1"/>
          <c:showCatName val="0"/>
          <c:showSerName val="0"/>
          <c:showPercent val="0"/>
          <c:showBubbleSize val="0"/>
        </c:dLbls>
        <c:gapWidth val="182"/>
        <c:axId val="339359096"/>
        <c:axId val="339359488"/>
      </c:barChart>
      <c:catAx>
        <c:axId val="339359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59488"/>
        <c:crosses val="autoZero"/>
        <c:auto val="1"/>
        <c:lblAlgn val="ctr"/>
        <c:lblOffset val="100"/>
        <c:noMultiLvlLbl val="0"/>
      </c:catAx>
      <c:valAx>
        <c:axId val="33935948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59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对新技术新应用的网络安全问题的关注度</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全国从业专题C!$B$5:$B$6</c:f>
              <c:strCache>
                <c:ptCount val="1"/>
                <c:pt idx="0">
                  <c:v>您关注过以下哪项新技术新应用的网络安全问题？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全国从业专题C!$A$7:$A$15</c:f>
              <c:strCache>
                <c:ptCount val="9"/>
                <c:pt idx="0">
                  <c:v>其他</c:v>
                </c:pt>
                <c:pt idx="1">
                  <c:v>都没关注过</c:v>
                </c:pt>
                <c:pt idx="2">
                  <c:v>量子信息技术</c:v>
                </c:pt>
                <c:pt idx="3">
                  <c:v>区块链</c:v>
                </c:pt>
                <c:pt idx="4">
                  <c:v>云计算</c:v>
                </c:pt>
                <c:pt idx="5">
                  <c:v>物联网</c:v>
                </c:pt>
                <c:pt idx="6">
                  <c:v>人工智能</c:v>
                </c:pt>
                <c:pt idx="7">
                  <c:v>大数据</c:v>
                </c:pt>
                <c:pt idx="8">
                  <c:v>5G移动网络</c:v>
                </c:pt>
              </c:strCache>
            </c:strRef>
          </c:cat>
          <c:val>
            <c:numRef>
              <c:f>全国从业专题C!$B$7:$B$15</c:f>
              <c:numCache>
                <c:formatCode>0.00%</c:formatCode>
                <c:ptCount val="9"/>
                <c:pt idx="0">
                  <c:v>0.0236</c:v>
                </c:pt>
                <c:pt idx="1">
                  <c:v>0.0473</c:v>
                </c:pt>
                <c:pt idx="2">
                  <c:v>0.1984</c:v>
                </c:pt>
                <c:pt idx="3">
                  <c:v>0.3663</c:v>
                </c:pt>
                <c:pt idx="4">
                  <c:v>0.412</c:v>
                </c:pt>
                <c:pt idx="5">
                  <c:v>0.4192</c:v>
                </c:pt>
                <c:pt idx="6">
                  <c:v>0.545</c:v>
                </c:pt>
                <c:pt idx="7">
                  <c:v>0.623</c:v>
                </c:pt>
                <c:pt idx="8">
                  <c:v>0.7364</c:v>
                </c:pt>
              </c:numCache>
            </c:numRef>
          </c:val>
        </c:ser>
        <c:dLbls>
          <c:showLegendKey val="0"/>
          <c:showVal val="1"/>
          <c:showCatName val="0"/>
          <c:showSerName val="0"/>
          <c:showPercent val="0"/>
          <c:showBubbleSize val="0"/>
        </c:dLbls>
        <c:gapWidth val="182"/>
        <c:axId val="339360272"/>
        <c:axId val="339360664"/>
      </c:barChart>
      <c:catAx>
        <c:axId val="339360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60664"/>
        <c:crosses val="autoZero"/>
        <c:auto val="1"/>
        <c:lblAlgn val="ctr"/>
        <c:lblOffset val="100"/>
        <c:noMultiLvlLbl val="0"/>
      </c:catAx>
      <c:valAx>
        <c:axId val="3393606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60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b="1"/>
              <a:t>5G</a:t>
            </a:r>
            <a:r>
              <a:rPr lang="zh-CN" altLang="en-US" b="1"/>
              <a:t>网络使用率</a:t>
            </a:r>
            <a:endParaRPr lang="zh-CN" altLang="en-US" b="1"/>
          </a:p>
        </c:rich>
      </c:tx>
      <c:layout>
        <c:manualLayout>
          <c:xMode val="edge"/>
          <c:yMode val="edge"/>
          <c:x val="0.398420690295785"/>
          <c:y val="0.0662037037037037"/>
        </c:manualLayout>
      </c:layout>
      <c:overlay val="0"/>
      <c:spPr>
        <a:noFill/>
        <a:ln>
          <a:noFill/>
        </a:ln>
        <a:effectLst/>
      </c:spPr>
    </c:title>
    <c:autoTitleDeleted val="0"/>
    <c:plotArea>
      <c:layout>
        <c:manualLayout>
          <c:layoutTarget val="inner"/>
          <c:xMode val="edge"/>
          <c:yMode val="edge"/>
          <c:x val="0.327062554680665"/>
          <c:y val="0.228182779235929"/>
          <c:w val="0.340319335083115"/>
          <c:h val="0.567198891805191"/>
        </c:manualLayout>
      </c:layout>
      <c:pieChart>
        <c:varyColors val="1"/>
        <c:ser>
          <c:idx val="0"/>
          <c:order val="0"/>
          <c:tx>
            <c:strRef>
              <c:f>全国从业专题C!$B$16:$B$17</c:f>
              <c:strCache>
                <c:ptCount val="1"/>
                <c:pt idx="0">
                  <c:v>您目前是否正在使用5G网络？ 全国占比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759245652706343"/>
                  <c:y val="0.12962962962963"/>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102865540044085"/>
                  <c:y val="-0.21296278069408"/>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113213227112224"/>
                      <c:h val="0.0680555555555555"/>
                    </c:manualLayout>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全国从业专题C!$A$18:$A$19</c:f>
              <c:strCache>
                <c:ptCount val="2"/>
                <c:pt idx="0">
                  <c:v>是</c:v>
                </c:pt>
                <c:pt idx="1">
                  <c:v>否</c:v>
                </c:pt>
              </c:strCache>
            </c:strRef>
          </c:cat>
          <c:val>
            <c:numRef>
              <c:f>全国从业专题C!$B$18:$B$19</c:f>
              <c:numCache>
                <c:formatCode>0.00%</c:formatCode>
                <c:ptCount val="2"/>
                <c:pt idx="0">
                  <c:v>0.1745</c:v>
                </c:pt>
                <c:pt idx="1">
                  <c:v>0.8254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a:t>
            </a:r>
            <a:r>
              <a:rPr lang="en-US" altLang="zh-CN" b="1"/>
              <a:t>5G</a:t>
            </a:r>
            <a:r>
              <a:rPr lang="zh-CN" altLang="en-US" b="1"/>
              <a:t>网络使用体验的评价</a:t>
            </a:r>
            <a:endParaRPr lang="zh-CN" altLang="en-US" b="1"/>
          </a:p>
        </c:rich>
      </c:tx>
      <c:layout>
        <c:manualLayout>
          <c:xMode val="edge"/>
          <c:yMode val="edge"/>
          <c:x val="0.325709016490628"/>
          <c:y val="0.0416666666666667"/>
        </c:manualLayout>
      </c:layout>
      <c:overlay val="0"/>
      <c:spPr>
        <a:noFill/>
        <a:ln>
          <a:noFill/>
        </a:ln>
        <a:effectLst/>
      </c:spPr>
    </c:title>
    <c:autoTitleDeleted val="0"/>
    <c:plotArea>
      <c:layout>
        <c:manualLayout>
          <c:layoutTarget val="inner"/>
          <c:xMode val="edge"/>
          <c:yMode val="edge"/>
          <c:x val="0.306776034236805"/>
          <c:y val="0.177083333333333"/>
          <c:w val="0.643414170233"/>
          <c:h val="0.710972222222222"/>
        </c:manualLayout>
      </c:layout>
      <c:barChart>
        <c:barDir val="bar"/>
        <c:grouping val="clustered"/>
        <c:varyColors val="0"/>
        <c:ser>
          <c:idx val="0"/>
          <c:order val="0"/>
          <c:tx>
            <c:strRef>
              <c:f>全国从业专题C!$B$20:$B$21</c:f>
              <c:strCache>
                <c:ptCount val="1"/>
                <c:pt idx="0">
                  <c:v>使用5G网络的感受是？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全国从业专题C!$A$22:$A$26</c:f>
              <c:strCache>
                <c:ptCount val="5"/>
                <c:pt idx="0">
                  <c:v>其他</c:v>
                </c:pt>
                <c:pt idx="1">
                  <c:v>5G信号不稳定，不是很好用</c:v>
                </c:pt>
                <c:pt idx="2">
                  <c:v>5G和4G差不多，一般</c:v>
                </c:pt>
                <c:pt idx="3">
                  <c:v>5G流量用的太快，费用有点高</c:v>
                </c:pt>
                <c:pt idx="4">
                  <c:v>5G上网很快，很好用</c:v>
                </c:pt>
              </c:strCache>
            </c:strRef>
          </c:cat>
          <c:val>
            <c:numRef>
              <c:f>全国从业专题C!$B$22:$B$26</c:f>
              <c:numCache>
                <c:formatCode>0.00%</c:formatCode>
                <c:ptCount val="5"/>
                <c:pt idx="0">
                  <c:v>0.0291</c:v>
                </c:pt>
                <c:pt idx="1">
                  <c:v>0.1809</c:v>
                </c:pt>
                <c:pt idx="2">
                  <c:v>0.2449</c:v>
                </c:pt>
                <c:pt idx="3">
                  <c:v>0.2862</c:v>
                </c:pt>
                <c:pt idx="4">
                  <c:v>0.447</c:v>
                </c:pt>
              </c:numCache>
            </c:numRef>
          </c:val>
        </c:ser>
        <c:dLbls>
          <c:showLegendKey val="0"/>
          <c:showVal val="1"/>
          <c:showCatName val="0"/>
          <c:showSerName val="0"/>
          <c:showPercent val="0"/>
          <c:showBubbleSize val="0"/>
        </c:dLbls>
        <c:gapWidth val="182"/>
        <c:axId val="339361840"/>
        <c:axId val="339362232"/>
      </c:barChart>
      <c:catAx>
        <c:axId val="3393618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62232"/>
        <c:crosses val="autoZero"/>
        <c:auto val="1"/>
        <c:lblAlgn val="ctr"/>
        <c:lblOffset val="100"/>
        <c:noMultiLvlLbl val="0"/>
      </c:catAx>
      <c:valAx>
        <c:axId val="33936223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61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目前不使用</a:t>
            </a:r>
            <a:r>
              <a:rPr lang="en-US" altLang="zh-CN" b="1"/>
              <a:t>5G</a:t>
            </a:r>
            <a:r>
              <a:rPr lang="zh-CN" altLang="en-US" b="1"/>
              <a:t>网络的原因</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全国从业专题C!$B$27:$B$28</c:f>
              <c:strCache>
                <c:ptCount val="1"/>
                <c:pt idx="0">
                  <c:v>目前不使用5G网络的原因是？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全国从业专题C!$A$29:$A$36</c:f>
              <c:strCache>
                <c:ptCount val="8"/>
                <c:pt idx="0">
                  <c:v>其他</c:v>
                </c:pt>
                <c:pt idx="1">
                  <c:v>不了解</c:v>
                </c:pt>
                <c:pt idx="2">
                  <c:v>缺乏适合我使用的5G关键应用，不想用</c:v>
                </c:pt>
                <c:pt idx="3">
                  <c:v>现有网络已经满足需求，不想换</c:v>
                </c:pt>
                <c:pt idx="4">
                  <c:v>先等网络稳定了再考虑</c:v>
                </c:pt>
                <c:pt idx="5">
                  <c:v>套餐费用高，用不起</c:v>
                </c:pt>
                <c:pt idx="6">
                  <c:v>网络覆盖面小，想用但用不上</c:v>
                </c:pt>
                <c:pt idx="7">
                  <c:v>想用但要换手机</c:v>
                </c:pt>
              </c:strCache>
            </c:strRef>
          </c:cat>
          <c:val>
            <c:numRef>
              <c:f>全国从业专题C!$B$29:$B$36</c:f>
              <c:numCache>
                <c:formatCode>0.00%</c:formatCode>
                <c:ptCount val="8"/>
                <c:pt idx="0">
                  <c:v>0.0218</c:v>
                </c:pt>
                <c:pt idx="1">
                  <c:v>0.0582</c:v>
                </c:pt>
                <c:pt idx="2">
                  <c:v>0.1673</c:v>
                </c:pt>
                <c:pt idx="3">
                  <c:v>0.2152</c:v>
                </c:pt>
                <c:pt idx="4">
                  <c:v>0.3861</c:v>
                </c:pt>
                <c:pt idx="5">
                  <c:v>0.4043</c:v>
                </c:pt>
                <c:pt idx="6">
                  <c:v>0.4159</c:v>
                </c:pt>
                <c:pt idx="7">
                  <c:v>0.5155</c:v>
                </c:pt>
              </c:numCache>
            </c:numRef>
          </c:val>
        </c:ser>
        <c:dLbls>
          <c:showLegendKey val="0"/>
          <c:showVal val="1"/>
          <c:showCatName val="0"/>
          <c:showSerName val="0"/>
          <c:showPercent val="0"/>
          <c:showBubbleSize val="0"/>
        </c:dLbls>
        <c:gapWidth val="182"/>
        <c:axId val="339363016"/>
        <c:axId val="339363408"/>
      </c:barChart>
      <c:catAx>
        <c:axId val="339363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63408"/>
        <c:crosses val="autoZero"/>
        <c:auto val="1"/>
        <c:lblAlgn val="ctr"/>
        <c:lblOffset val="100"/>
        <c:noMultiLvlLbl val="0"/>
      </c:catAx>
      <c:valAx>
        <c:axId val="3393634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63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a:t>
            </a:r>
            <a:r>
              <a:rPr lang="en-US" altLang="zh-CN" b="1"/>
              <a:t>5G</a:t>
            </a:r>
            <a:r>
              <a:rPr lang="zh-CN" altLang="en-US" b="1"/>
              <a:t>技术的顾虑</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全国从业专题C!$B$37:$B$38</c:f>
              <c:strCache>
                <c:ptCount val="1"/>
                <c:pt idx="0">
                  <c:v>您对5G技术存在哪些顾虑？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全国从业专题C!$A$39:$A$43</c:f>
              <c:strCache>
                <c:ptCount val="5"/>
                <c:pt idx="0">
                  <c:v>其他</c:v>
                </c:pt>
                <c:pt idx="1">
                  <c:v>网络不够安全</c:v>
                </c:pt>
                <c:pt idx="2">
                  <c:v>技术不成熟，出现网络错误/卡顿</c:v>
                </c:pt>
                <c:pt idx="3">
                  <c:v>网络覆盖面小</c:v>
                </c:pt>
                <c:pt idx="4">
                  <c:v>比4G服务收费更高</c:v>
                </c:pt>
              </c:strCache>
            </c:strRef>
          </c:cat>
          <c:val>
            <c:numRef>
              <c:f>全国从业专题C!$B$39:$B$43</c:f>
              <c:numCache>
                <c:formatCode>0.00%</c:formatCode>
                <c:ptCount val="5"/>
                <c:pt idx="0">
                  <c:v>0.0548</c:v>
                </c:pt>
                <c:pt idx="1">
                  <c:v>0.2572</c:v>
                </c:pt>
                <c:pt idx="2">
                  <c:v>0.3385</c:v>
                </c:pt>
                <c:pt idx="3">
                  <c:v>0.5974</c:v>
                </c:pt>
                <c:pt idx="4">
                  <c:v>0.6891</c:v>
                </c:pt>
              </c:numCache>
            </c:numRef>
          </c:val>
        </c:ser>
        <c:dLbls>
          <c:showLegendKey val="0"/>
          <c:showVal val="1"/>
          <c:showCatName val="0"/>
          <c:showSerName val="0"/>
          <c:showPercent val="0"/>
          <c:showBubbleSize val="0"/>
        </c:dLbls>
        <c:gapWidth val="182"/>
        <c:axId val="339364192"/>
        <c:axId val="339364584"/>
      </c:barChart>
      <c:catAx>
        <c:axId val="339364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64584"/>
        <c:crosses val="autoZero"/>
        <c:auto val="1"/>
        <c:lblAlgn val="ctr"/>
        <c:lblOffset val="100"/>
        <c:noMultiLvlLbl val="0"/>
      </c:catAx>
      <c:valAx>
        <c:axId val="33936458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64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人工智能</a:t>
            </a:r>
            <a:r>
              <a:rPr lang="en-US" altLang="zh-CN" b="1"/>
              <a:t>(AI)</a:t>
            </a:r>
            <a:r>
              <a:rPr lang="zh-CN" altLang="en-US" b="1"/>
              <a:t>可以发挥优势的领域</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全国从业专题C!$B$44:$B$45</c:f>
              <c:strCache>
                <c:ptCount val="1"/>
                <c:pt idx="0">
                  <c:v>您最期待人工智能(AI)在哪些领域发挥优势？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全国从业专题C!$A$46:$A$53</c:f>
              <c:strCache>
                <c:ptCount val="8"/>
                <c:pt idx="0">
                  <c:v>其他</c:v>
                </c:pt>
                <c:pt idx="1">
                  <c:v>军事</c:v>
                </c:pt>
                <c:pt idx="2">
                  <c:v>农业</c:v>
                </c:pt>
                <c:pt idx="3">
                  <c:v>社会安全治理</c:v>
                </c:pt>
                <c:pt idx="4">
                  <c:v>工业制造</c:v>
                </c:pt>
                <c:pt idx="5">
                  <c:v>教育</c:v>
                </c:pt>
                <c:pt idx="6">
                  <c:v>交通</c:v>
                </c:pt>
                <c:pt idx="7">
                  <c:v>医疗</c:v>
                </c:pt>
              </c:strCache>
            </c:strRef>
          </c:cat>
          <c:val>
            <c:numRef>
              <c:f>全国从业专题C!$B$46:$B$53</c:f>
              <c:numCache>
                <c:formatCode>0.00%</c:formatCode>
                <c:ptCount val="8"/>
                <c:pt idx="0">
                  <c:v>0.0321</c:v>
                </c:pt>
                <c:pt idx="1">
                  <c:v>0.3632</c:v>
                </c:pt>
                <c:pt idx="2">
                  <c:v>0.3868</c:v>
                </c:pt>
                <c:pt idx="3">
                  <c:v>0.4342</c:v>
                </c:pt>
                <c:pt idx="4">
                  <c:v>0.4769</c:v>
                </c:pt>
                <c:pt idx="5">
                  <c:v>0.5688</c:v>
                </c:pt>
                <c:pt idx="6">
                  <c:v>0.7469</c:v>
                </c:pt>
                <c:pt idx="7">
                  <c:v>0.7667</c:v>
                </c:pt>
              </c:numCache>
            </c:numRef>
          </c:val>
        </c:ser>
        <c:dLbls>
          <c:showLegendKey val="0"/>
          <c:showVal val="1"/>
          <c:showCatName val="0"/>
          <c:showSerName val="0"/>
          <c:showPercent val="0"/>
          <c:showBubbleSize val="0"/>
        </c:dLbls>
        <c:gapWidth val="182"/>
        <c:axId val="339365368"/>
        <c:axId val="339365760"/>
      </c:barChart>
      <c:catAx>
        <c:axId val="339365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65760"/>
        <c:crosses val="autoZero"/>
        <c:auto val="1"/>
        <c:lblAlgn val="ctr"/>
        <c:lblOffset val="100"/>
        <c:noMultiLvlLbl val="0"/>
      </c:catAx>
      <c:valAx>
        <c:axId val="33936576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65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目前人工智能应用的发展面临的最大阻力</a:t>
            </a:r>
            <a:endParaRPr lang="zh-CN" altLang="en-US" b="1"/>
          </a:p>
        </c:rich>
      </c:tx>
      <c:layout>
        <c:manualLayout>
          <c:xMode val="edge"/>
          <c:yMode val="edge"/>
          <c:x val="0.188670070508145"/>
          <c:y val="0.0277777777777778"/>
        </c:manualLayout>
      </c:layout>
      <c:overlay val="0"/>
      <c:spPr>
        <a:noFill/>
        <a:ln>
          <a:noFill/>
        </a:ln>
        <a:effectLst/>
      </c:spPr>
    </c:title>
    <c:autoTitleDeleted val="0"/>
    <c:plotArea>
      <c:layout/>
      <c:barChart>
        <c:barDir val="bar"/>
        <c:grouping val="clustered"/>
        <c:varyColors val="0"/>
        <c:ser>
          <c:idx val="0"/>
          <c:order val="0"/>
          <c:tx>
            <c:strRef>
              <c:f>全国从业专题C!$B$54:$B$55</c:f>
              <c:strCache>
                <c:ptCount val="1"/>
                <c:pt idx="0">
                  <c:v>您认为目前人工智能应用的发展面临的最大阻力是？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全国从业专题C!$A$56:$A$62</c:f>
              <c:strCache>
                <c:ptCount val="7"/>
                <c:pt idx="0">
                  <c:v>其他</c:v>
                </c:pt>
                <c:pt idx="1">
                  <c:v>投资不足</c:v>
                </c:pt>
                <c:pt idx="2">
                  <c:v>政策环境</c:v>
                </c:pt>
                <c:pt idx="3">
                  <c:v>社会接受</c:v>
                </c:pt>
                <c:pt idx="4">
                  <c:v>应用普及</c:v>
                </c:pt>
                <c:pt idx="5">
                  <c:v>安全隐私问题</c:v>
                </c:pt>
                <c:pt idx="6">
                  <c:v>技术有待成熟</c:v>
                </c:pt>
              </c:strCache>
            </c:strRef>
          </c:cat>
          <c:val>
            <c:numRef>
              <c:f>全国从业专题C!$B$56:$B$62</c:f>
              <c:numCache>
                <c:formatCode>0.00%</c:formatCode>
                <c:ptCount val="7"/>
                <c:pt idx="0">
                  <c:v>0.0303</c:v>
                </c:pt>
                <c:pt idx="1">
                  <c:v>0.3274</c:v>
                </c:pt>
                <c:pt idx="2">
                  <c:v>0.3477</c:v>
                </c:pt>
                <c:pt idx="3">
                  <c:v>0.3921</c:v>
                </c:pt>
                <c:pt idx="4">
                  <c:v>0.5708</c:v>
                </c:pt>
                <c:pt idx="5">
                  <c:v>0.6724</c:v>
                </c:pt>
                <c:pt idx="6">
                  <c:v>0.7549</c:v>
                </c:pt>
              </c:numCache>
            </c:numRef>
          </c:val>
        </c:ser>
        <c:dLbls>
          <c:showLegendKey val="0"/>
          <c:showVal val="1"/>
          <c:showCatName val="0"/>
          <c:showSerName val="0"/>
          <c:showPercent val="0"/>
          <c:showBubbleSize val="0"/>
        </c:dLbls>
        <c:gapWidth val="182"/>
        <c:axId val="339366544"/>
        <c:axId val="339366936"/>
      </c:barChart>
      <c:catAx>
        <c:axId val="339366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66936"/>
        <c:crosses val="autoZero"/>
        <c:auto val="1"/>
        <c:lblAlgn val="ctr"/>
        <c:lblOffset val="100"/>
        <c:noMultiLvlLbl val="0"/>
      </c:catAx>
      <c:valAx>
        <c:axId val="33936693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66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a:t>
            </a:r>
            <a:r>
              <a:rPr lang="en-US" altLang="zh-CN" b="1"/>
              <a:t>AI</a:t>
            </a:r>
            <a:r>
              <a:rPr lang="zh-CN" altLang="en-US" b="1"/>
              <a:t>换脸”应用等“深度伪造”为代表的新技术新应用的看法</a:t>
            </a:r>
            <a:endParaRPr lang="zh-CN" altLang="en-US" b="1"/>
          </a:p>
        </c:rich>
      </c:tx>
      <c:layout/>
      <c:overlay val="0"/>
      <c:spPr>
        <a:noFill/>
        <a:ln>
          <a:noFill/>
        </a:ln>
        <a:effectLst/>
      </c:spPr>
    </c:title>
    <c:autoTitleDeleted val="0"/>
    <c:plotArea>
      <c:layout>
        <c:manualLayout>
          <c:layoutTarget val="inner"/>
          <c:xMode val="edge"/>
          <c:yMode val="edge"/>
          <c:x val="0.505730797014207"/>
          <c:y val="0.27488268708323"/>
          <c:w val="0.450445461112449"/>
          <c:h val="0.6191158310694"/>
        </c:manualLayout>
      </c:layout>
      <c:barChart>
        <c:barDir val="bar"/>
        <c:grouping val="clustered"/>
        <c:varyColors val="0"/>
        <c:ser>
          <c:idx val="0"/>
          <c:order val="0"/>
          <c:tx>
            <c:strRef>
              <c:f>全国从业专题C!$B$63:$B$64</c:f>
              <c:strCache>
                <c:ptCount val="1"/>
                <c:pt idx="0">
                  <c:v>近两年出现了“AI换脸”应用，您怎么看这种以“深度伪造”为代表的新技术新应用？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全国从业专题C!$A$65:$A$69</c:f>
              <c:strCache>
                <c:ptCount val="5"/>
                <c:pt idx="0">
                  <c:v>不清楚什么是深度伪造技术</c:v>
                </c:pt>
                <c:pt idx="1">
                  <c:v>该技术多用在恶搞视频，影响不大</c:v>
                </c:pt>
                <c:pt idx="2">
                  <c:v>深度伪造技术滥用危害国家安全</c:v>
                </c:pt>
                <c:pt idx="3">
                  <c:v>催生网络黑灰产，带来社会安全风险</c:v>
                </c:pt>
                <c:pt idx="4">
                  <c:v>降低了生物特征识别技术可信度，引发网络安全风险</c:v>
                </c:pt>
              </c:strCache>
            </c:strRef>
          </c:cat>
          <c:val>
            <c:numRef>
              <c:f>全国从业专题C!$B$65:$B$69</c:f>
              <c:numCache>
                <c:formatCode>0.00%</c:formatCode>
                <c:ptCount val="5"/>
                <c:pt idx="0">
                  <c:v>0.1388</c:v>
                </c:pt>
                <c:pt idx="1">
                  <c:v>0.2017</c:v>
                </c:pt>
                <c:pt idx="2">
                  <c:v>0.5725</c:v>
                </c:pt>
                <c:pt idx="3">
                  <c:v>0.7213</c:v>
                </c:pt>
                <c:pt idx="4">
                  <c:v>0.7469</c:v>
                </c:pt>
              </c:numCache>
            </c:numRef>
          </c:val>
        </c:ser>
        <c:dLbls>
          <c:showLegendKey val="0"/>
          <c:showVal val="1"/>
          <c:showCatName val="0"/>
          <c:showSerName val="0"/>
          <c:showPercent val="0"/>
          <c:showBubbleSize val="0"/>
        </c:dLbls>
        <c:gapWidth val="182"/>
        <c:axId val="339367720"/>
        <c:axId val="339368112"/>
      </c:barChart>
      <c:catAx>
        <c:axId val="339367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68112"/>
        <c:crosses val="autoZero"/>
        <c:auto val="1"/>
        <c:lblAlgn val="ctr"/>
        <c:lblOffset val="100"/>
        <c:noMultiLvlLbl val="0"/>
      </c:catAx>
      <c:valAx>
        <c:axId val="3393681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p>
        </c:txPr>
        <c:crossAx val="339367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对区块链的了解程度</a:t>
            </a:r>
            <a:endParaRPr lang="zh-CN" altLang="en-US" b="1"/>
          </a:p>
        </c:rich>
      </c:tx>
      <c:layout/>
      <c:overlay val="0"/>
      <c:spPr>
        <a:noFill/>
        <a:ln>
          <a:noFill/>
        </a:ln>
        <a:effectLst/>
      </c:spPr>
    </c:title>
    <c:autoTitleDeleted val="0"/>
    <c:plotArea>
      <c:layout>
        <c:manualLayout>
          <c:layoutTarget val="inner"/>
          <c:xMode val="edge"/>
          <c:yMode val="edge"/>
          <c:x val="0.160365048118985"/>
          <c:y val="0.114940632420947"/>
          <c:w val="0.806301618547682"/>
          <c:h val="0.434421322334708"/>
        </c:manualLayout>
      </c:layout>
      <c:barChart>
        <c:barDir val="col"/>
        <c:grouping val="clustered"/>
        <c:varyColors val="0"/>
        <c:ser>
          <c:idx val="0"/>
          <c:order val="0"/>
          <c:tx>
            <c:strRef>
              <c:f>全国从业专题C!$B$70:$B$71</c:f>
              <c:strCache>
                <c:ptCount val="1"/>
                <c:pt idx="0">
                  <c:v>对区块链，您了解多少？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全国从业专题C!$A$72:$A$76</c:f>
              <c:strCache>
                <c:ptCount val="5"/>
                <c:pt idx="0">
                  <c:v>非常了解，我是区块链从业者</c:v>
                </c:pt>
                <c:pt idx="1">
                  <c:v>了解，我经常关注区块链相关资讯</c:v>
                </c:pt>
                <c:pt idx="2">
                  <c:v>一般，偶尔看到区块链的信息</c:v>
                </c:pt>
                <c:pt idx="3">
                  <c:v>不了解，听说过区块链但不知道是什么</c:v>
                </c:pt>
                <c:pt idx="4">
                  <c:v>完全不了解，没听过区块链</c:v>
                </c:pt>
              </c:strCache>
            </c:strRef>
          </c:cat>
          <c:val>
            <c:numRef>
              <c:f>全国从业专题C!$B$72:$B$76</c:f>
              <c:numCache>
                <c:formatCode>0.00%</c:formatCode>
                <c:ptCount val="5"/>
                <c:pt idx="0">
                  <c:v>0.0342</c:v>
                </c:pt>
                <c:pt idx="1">
                  <c:v>0.1399</c:v>
                </c:pt>
                <c:pt idx="2">
                  <c:v>0.4845</c:v>
                </c:pt>
                <c:pt idx="3">
                  <c:v>0.2313</c:v>
                </c:pt>
                <c:pt idx="4">
                  <c:v>0.1099</c:v>
                </c:pt>
              </c:numCache>
            </c:numRef>
          </c:val>
        </c:ser>
        <c:dLbls>
          <c:showLegendKey val="0"/>
          <c:showVal val="1"/>
          <c:showCatName val="0"/>
          <c:showSerName val="0"/>
          <c:showPercent val="0"/>
          <c:showBubbleSize val="0"/>
        </c:dLbls>
        <c:gapWidth val="219"/>
        <c:overlap val="-27"/>
        <c:axId val="339368896"/>
        <c:axId val="339369288"/>
      </c:barChart>
      <c:catAx>
        <c:axId val="339368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69288"/>
        <c:crosses val="autoZero"/>
        <c:auto val="1"/>
        <c:lblAlgn val="ctr"/>
        <c:lblOffset val="100"/>
        <c:noMultiLvlLbl val="0"/>
      </c:catAx>
      <c:valAx>
        <c:axId val="3393692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68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b="1"/>
              <a:t>2020</a:t>
            </a:r>
            <a:r>
              <a:rPr lang="zh-CN" altLang="en-US" b="1"/>
              <a:t>年从业人员和公众网民安全感评价比较</a:t>
            </a:r>
            <a:endParaRPr lang="zh-CN" altLang="en-US" b="1"/>
          </a:p>
        </c:rich>
      </c:tx>
      <c:layout/>
      <c:overlay val="0"/>
      <c:spPr>
        <a:noFill/>
        <a:ln>
          <a:noFill/>
        </a:ln>
        <a:effectLst/>
      </c:spPr>
    </c:title>
    <c:autoTitleDeleted val="0"/>
    <c:plotArea>
      <c:layout>
        <c:manualLayout>
          <c:layoutTarget val="inner"/>
          <c:xMode val="edge"/>
          <c:yMode val="edge"/>
          <c:x val="0.0978994118353139"/>
          <c:y val="0.154987633965375"/>
          <c:w val="0.877133597407274"/>
          <c:h val="0.649711459192086"/>
        </c:manualLayout>
      </c:layout>
      <c:barChart>
        <c:barDir val="col"/>
        <c:grouping val="clustered"/>
        <c:varyColors val="0"/>
        <c:ser>
          <c:idx val="0"/>
          <c:order val="0"/>
          <c:tx>
            <c:strRef>
              <c:f>[重庆从业人员.xlsx]主问卷!$C$53</c:f>
              <c:strCache>
                <c:ptCount val="1"/>
                <c:pt idx="0">
                  <c:v>重庆数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[重庆从业人员.xlsx]主问卷!$B$54:$B$58</c:f>
              <c:strCache>
                <c:ptCount val="5"/>
                <c:pt idx="0">
                  <c:v>非常安全</c:v>
                </c:pt>
                <c:pt idx="1">
                  <c:v>安全</c:v>
                </c:pt>
                <c:pt idx="2">
                  <c:v>一般</c:v>
                </c:pt>
                <c:pt idx="3">
                  <c:v>不安全</c:v>
                </c:pt>
                <c:pt idx="4">
                  <c:v>非常不安全</c:v>
                </c:pt>
              </c:strCache>
            </c:strRef>
          </c:cat>
          <c:val>
            <c:numRef>
              <c:f>[重庆从业人员.xlsx]主问卷!$C$54:$C$58</c:f>
            </c:numRef>
          </c:val>
        </c:ser>
        <c:ser>
          <c:idx val="1"/>
          <c:order val="1"/>
          <c:tx>
            <c:strRef>
              <c:f>[重庆从业人员.xlsx]主问卷!$D$53</c:f>
              <c:strCache>
                <c:ptCount val="1"/>
                <c:pt idx="0">
                  <c:v>从业人员</c:v>
                </c:pt>
              </c:strCache>
            </c:strRef>
          </c:tx>
          <c:spPr>
            <a:solidFill>
              <a:schemeClr val="accent2"/>
            </a:solidFill>
            <a:ln>
              <a:noFill/>
            </a:ln>
            <a:effectLst/>
          </c:spPr>
          <c:invertIfNegative val="0"/>
          <c:dLbls>
            <c:dLbl>
              <c:idx val="0"/>
              <c:layout>
                <c:manualLayout>
                  <c:x val="0"/>
                  <c:y val="-0.0284418796372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2003360941063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44040331292762"/>
                  <c:y val="-0.0566776586974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[重庆从业人员.xlsx]主问卷!$B$54:$B$58</c:f>
              <c:strCache>
                <c:ptCount val="5"/>
                <c:pt idx="0">
                  <c:v>非常安全</c:v>
                </c:pt>
                <c:pt idx="1">
                  <c:v>安全</c:v>
                </c:pt>
                <c:pt idx="2">
                  <c:v>一般</c:v>
                </c:pt>
                <c:pt idx="3">
                  <c:v>不安全</c:v>
                </c:pt>
                <c:pt idx="4">
                  <c:v>非常不安全</c:v>
                </c:pt>
              </c:strCache>
            </c:strRef>
          </c:cat>
          <c:val>
            <c:numRef>
              <c:f>[重庆从业人员.xlsx]主问卷!$D$54:$D$58</c:f>
              <c:numCache>
                <c:formatCode>0.00%</c:formatCode>
                <c:ptCount val="5"/>
                <c:pt idx="0">
                  <c:v>0.1407</c:v>
                </c:pt>
                <c:pt idx="1">
                  <c:v>0.3921</c:v>
                </c:pt>
                <c:pt idx="2">
                  <c:v>0.338</c:v>
                </c:pt>
                <c:pt idx="3">
                  <c:v>0.0854</c:v>
                </c:pt>
                <c:pt idx="4">
                  <c:v>0.0436</c:v>
                </c:pt>
              </c:numCache>
            </c:numRef>
          </c:val>
        </c:ser>
        <c:ser>
          <c:idx val="2"/>
          <c:order val="2"/>
          <c:tx>
            <c:strRef>
              <c:f>[重庆从业人员.xlsx]主问卷!$E$53</c:f>
              <c:strCache>
                <c:ptCount val="1"/>
                <c:pt idx="0">
                  <c:v>全国数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[重庆从业人员.xlsx]主问卷!$B$54:$B$58</c:f>
              <c:strCache>
                <c:ptCount val="5"/>
                <c:pt idx="0">
                  <c:v>非常安全</c:v>
                </c:pt>
                <c:pt idx="1">
                  <c:v>安全</c:v>
                </c:pt>
                <c:pt idx="2">
                  <c:v>一般</c:v>
                </c:pt>
                <c:pt idx="3">
                  <c:v>不安全</c:v>
                </c:pt>
                <c:pt idx="4">
                  <c:v>非常不安全</c:v>
                </c:pt>
              </c:strCache>
            </c:strRef>
          </c:cat>
          <c:val>
            <c:numRef>
              <c:f>[重庆从业人员.xlsx]主问卷!$E$54:$E$58</c:f>
            </c:numRef>
          </c:val>
        </c:ser>
        <c:ser>
          <c:idx val="3"/>
          <c:order val="3"/>
          <c:tx>
            <c:strRef>
              <c:f>[重庆从业人员.xlsx]主问卷!$F$53</c:f>
              <c:strCache>
                <c:ptCount val="1"/>
                <c:pt idx="0">
                  <c:v>公众网民</c:v>
                </c:pt>
              </c:strCache>
            </c:strRef>
          </c:tx>
          <c:spPr>
            <a:solidFill>
              <a:schemeClr val="accent4"/>
            </a:solidFill>
            <a:ln>
              <a:noFill/>
            </a:ln>
            <a:effectLst/>
          </c:spPr>
          <c:invertIfNegative val="0"/>
          <c:dLbls>
            <c:dLbl>
              <c:idx val="0"/>
              <c:layout>
                <c:manualLayout>
                  <c:x val="0.00600168047053175"/>
                  <c:y val="-0.007625721352019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10058816468611"/>
                  <c:y val="-0.01298433635614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456127715760413"/>
                  <c:y val="-0.043899422918384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[重庆从业人员.xlsx]主问卷!$B$54:$B$58</c:f>
              <c:strCache>
                <c:ptCount val="5"/>
                <c:pt idx="0">
                  <c:v>非常安全</c:v>
                </c:pt>
                <c:pt idx="1">
                  <c:v>安全</c:v>
                </c:pt>
                <c:pt idx="2">
                  <c:v>一般</c:v>
                </c:pt>
                <c:pt idx="3">
                  <c:v>不安全</c:v>
                </c:pt>
                <c:pt idx="4">
                  <c:v>非常不安全</c:v>
                </c:pt>
              </c:strCache>
            </c:strRef>
          </c:cat>
          <c:val>
            <c:numRef>
              <c:f>[重庆从业人员.xlsx]主问卷!$F$54:$F$58</c:f>
              <c:numCache>
                <c:formatCode>0.00%</c:formatCode>
                <c:ptCount val="5"/>
                <c:pt idx="0">
                  <c:v>0.1131</c:v>
                </c:pt>
                <c:pt idx="1">
                  <c:v>0.3482</c:v>
                </c:pt>
                <c:pt idx="2">
                  <c:v>0.4081</c:v>
                </c:pt>
                <c:pt idx="3">
                  <c:v>0.0896</c:v>
                </c:pt>
                <c:pt idx="4">
                  <c:v>0.041</c:v>
                </c:pt>
              </c:numCache>
            </c:numRef>
          </c:val>
        </c:ser>
        <c:dLbls>
          <c:showLegendKey val="0"/>
          <c:showVal val="1"/>
          <c:showCatName val="0"/>
          <c:showSerName val="0"/>
          <c:showPercent val="0"/>
          <c:showBubbleSize val="0"/>
        </c:dLbls>
        <c:gapWidth val="219"/>
        <c:overlap val="-27"/>
        <c:axId val="526737208"/>
        <c:axId val="526736816"/>
      </c:barChart>
      <c:catAx>
        <c:axId val="5267372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6736816"/>
        <c:crosses val="autoZero"/>
        <c:auto val="1"/>
        <c:lblAlgn val="ctr"/>
        <c:lblOffset val="100"/>
        <c:noMultiLvlLbl val="0"/>
      </c:catAx>
      <c:valAx>
        <c:axId val="5267368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67372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区块链未来发展趋势的看法</a:t>
            </a:r>
            <a:endParaRPr lang="zh-CN" altLang="en-US" b="1"/>
          </a:p>
        </c:rich>
      </c:tx>
      <c:layout/>
      <c:overlay val="0"/>
      <c:spPr>
        <a:noFill/>
        <a:ln>
          <a:noFill/>
        </a:ln>
        <a:effectLst/>
      </c:spPr>
    </c:title>
    <c:autoTitleDeleted val="0"/>
    <c:plotArea>
      <c:layout>
        <c:manualLayout>
          <c:layoutTarget val="inner"/>
          <c:xMode val="edge"/>
          <c:yMode val="edge"/>
          <c:x val="0.31990437845999"/>
          <c:y val="0.181126693605895"/>
          <c:w val="0.625742325113236"/>
          <c:h val="0.703922034704065"/>
        </c:manualLayout>
      </c:layout>
      <c:barChart>
        <c:barDir val="bar"/>
        <c:grouping val="clustered"/>
        <c:varyColors val="0"/>
        <c:ser>
          <c:idx val="0"/>
          <c:order val="0"/>
          <c:tx>
            <c:strRef>
              <c:f>全国从业专题C!$B$77:$B$78</c:f>
              <c:strCache>
                <c:ptCount val="1"/>
                <c:pt idx="0">
                  <c:v>您觉得区块链未来发展会如何？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全国从业专题C!$A$79:$A$82</c:f>
              <c:strCache>
                <c:ptCount val="4"/>
                <c:pt idx="0">
                  <c:v>只是一时兴起，最终会被淘汰</c:v>
                </c:pt>
                <c:pt idx="1">
                  <c:v>无法预料</c:v>
                </c:pt>
                <c:pt idx="2">
                  <c:v>只会在某些领域(如金融)兴盛</c:v>
                </c:pt>
                <c:pt idx="3">
                  <c:v>广泛应用于各行业领域</c:v>
                </c:pt>
              </c:strCache>
            </c:strRef>
          </c:cat>
          <c:val>
            <c:numRef>
              <c:f>全国从业专题C!$B$79:$B$82</c:f>
              <c:numCache>
                <c:formatCode>0.00%</c:formatCode>
                <c:ptCount val="4"/>
                <c:pt idx="0">
                  <c:v>0.0495</c:v>
                </c:pt>
                <c:pt idx="1">
                  <c:v>0.2305</c:v>
                </c:pt>
                <c:pt idx="2">
                  <c:v>0.2652</c:v>
                </c:pt>
                <c:pt idx="3">
                  <c:v>0.4546</c:v>
                </c:pt>
              </c:numCache>
            </c:numRef>
          </c:val>
        </c:ser>
        <c:dLbls>
          <c:showLegendKey val="0"/>
          <c:showVal val="1"/>
          <c:showCatName val="0"/>
          <c:showSerName val="0"/>
          <c:showPercent val="0"/>
          <c:showBubbleSize val="0"/>
        </c:dLbls>
        <c:gapWidth val="182"/>
        <c:axId val="339370072"/>
        <c:axId val="339370464"/>
      </c:barChart>
      <c:catAx>
        <c:axId val="3393700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70464"/>
        <c:crosses val="autoZero"/>
        <c:auto val="1"/>
        <c:lblAlgn val="ctr"/>
        <c:lblOffset val="100"/>
        <c:noMultiLvlLbl val="0"/>
      </c:catAx>
      <c:valAx>
        <c:axId val="3393704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70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t>所在单位大数据技术</a:t>
            </a:r>
            <a:r>
              <a:rPr lang="zh-CN" altLang="en-US"/>
              <a:t>应用情况</a:t>
            </a:r>
            <a:endParaRPr lang="zh-CN"/>
          </a:p>
        </c:rich>
      </c:tx>
      <c:layout/>
      <c:overlay val="0"/>
      <c:spPr>
        <a:noFill/>
        <a:ln>
          <a:noFill/>
        </a:ln>
        <a:effectLst/>
      </c:spPr>
    </c:title>
    <c:autoTitleDeleted val="0"/>
    <c:plotArea>
      <c:layout/>
      <c:pieChart>
        <c:varyColors val="1"/>
        <c:ser>
          <c:idx val="0"/>
          <c:order val="0"/>
          <c:tx>
            <c:strRef>
              <c:f>全国从业专题C!$B$83:$B$84</c:f>
              <c:strCache>
                <c:ptCount val="1"/>
                <c:pt idx="0">
                  <c:v>您现所在单位是否应用了大数据技术？ 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2"/>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全国从业专题C!$A$85:$A$87</c:f>
              <c:strCache>
                <c:ptCount val="3"/>
                <c:pt idx="0">
                  <c:v>是</c:v>
                </c:pt>
                <c:pt idx="1">
                  <c:v>否</c:v>
                </c:pt>
                <c:pt idx="2">
                  <c:v>不清楚</c:v>
                </c:pt>
              </c:strCache>
            </c:strRef>
          </c:cat>
          <c:val>
            <c:numRef>
              <c:f>全国从业专题C!$B$85:$B$87</c:f>
              <c:numCache>
                <c:formatCode>0.00%</c:formatCode>
                <c:ptCount val="3"/>
                <c:pt idx="0">
                  <c:v>0.5163</c:v>
                </c:pt>
                <c:pt idx="1">
                  <c:v>0.2551</c:v>
                </c:pt>
                <c:pt idx="2">
                  <c:v>0.2285</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目前大数据技术应用存在的问题</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全国从业专题C!$B$88:$B$89</c:f>
              <c:strCache>
                <c:ptCount val="1"/>
                <c:pt idx="0">
                  <c:v>您认为目前大数据技术应用上存在哪些问题？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全国从业专题C!$A$90:$A$96</c:f>
              <c:strCache>
                <c:ptCount val="7"/>
                <c:pt idx="0">
                  <c:v>其他</c:v>
                </c:pt>
                <c:pt idx="1">
                  <c:v>管理层尚未决定布局</c:v>
                </c:pt>
                <c:pt idx="2">
                  <c:v>没有相关预算</c:v>
                </c:pt>
                <c:pt idx="3">
                  <c:v>缺少数据共享政策规范支持</c:v>
                </c:pt>
                <c:pt idx="4">
                  <c:v>数据采集渠道不畅</c:v>
                </c:pt>
                <c:pt idx="5">
                  <c:v>监管制度不完善，担心数据安全问题，</c:v>
                </c:pt>
                <c:pt idx="6">
                  <c:v>专业人员匮乏</c:v>
                </c:pt>
              </c:strCache>
            </c:strRef>
          </c:cat>
          <c:val>
            <c:numRef>
              <c:f>全国从业专题C!$B$90:$B$96</c:f>
              <c:numCache>
                <c:formatCode>0.00%</c:formatCode>
                <c:ptCount val="7"/>
                <c:pt idx="0">
                  <c:v>0.0541</c:v>
                </c:pt>
                <c:pt idx="1">
                  <c:v>0.319</c:v>
                </c:pt>
                <c:pt idx="2">
                  <c:v>0.329</c:v>
                </c:pt>
                <c:pt idx="3">
                  <c:v>0.5423</c:v>
                </c:pt>
                <c:pt idx="4">
                  <c:v>0.5466</c:v>
                </c:pt>
                <c:pt idx="5">
                  <c:v>0.5649</c:v>
                </c:pt>
                <c:pt idx="6">
                  <c:v>0.6095</c:v>
                </c:pt>
              </c:numCache>
            </c:numRef>
          </c:val>
        </c:ser>
        <c:dLbls>
          <c:showLegendKey val="0"/>
          <c:showVal val="1"/>
          <c:showCatName val="0"/>
          <c:showSerName val="0"/>
          <c:showPercent val="0"/>
          <c:showBubbleSize val="0"/>
        </c:dLbls>
        <c:gapWidth val="182"/>
        <c:axId val="339371640"/>
        <c:axId val="339372032"/>
      </c:barChart>
      <c:catAx>
        <c:axId val="3393716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72032"/>
        <c:crosses val="autoZero"/>
        <c:auto val="1"/>
        <c:lblAlgn val="ctr"/>
        <c:lblOffset val="100"/>
        <c:noMultiLvlLbl val="0"/>
      </c:catAx>
      <c:valAx>
        <c:axId val="33937203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71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体验过物联网应用的领域</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全国从业专题C!$B$97:$B$98</c:f>
              <c:strCache>
                <c:ptCount val="1"/>
                <c:pt idx="0">
                  <c:v>您在哪些领域体验过物联网的应用？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全国从业专题C!$A$99:$A$106</c:f>
              <c:strCache>
                <c:ptCount val="8"/>
                <c:pt idx="0">
                  <c:v>其他</c:v>
                </c:pt>
                <c:pt idx="1">
                  <c:v>智能司法</c:v>
                </c:pt>
                <c:pt idx="2">
                  <c:v>智能农业</c:v>
                </c:pt>
                <c:pt idx="3">
                  <c:v>智能社区</c:v>
                </c:pt>
                <c:pt idx="4">
                  <c:v>智能医疗</c:v>
                </c:pt>
                <c:pt idx="5">
                  <c:v>智能交通</c:v>
                </c:pt>
                <c:pt idx="6">
                  <c:v>智能物流</c:v>
                </c:pt>
                <c:pt idx="7">
                  <c:v>智能家居</c:v>
                </c:pt>
              </c:strCache>
            </c:strRef>
          </c:cat>
          <c:val>
            <c:numRef>
              <c:f>全国从业专题C!$B$99:$B$106</c:f>
              <c:numCache>
                <c:formatCode>0.00%</c:formatCode>
                <c:ptCount val="8"/>
                <c:pt idx="0">
                  <c:v>0.0602</c:v>
                </c:pt>
                <c:pt idx="1">
                  <c:v>0.1425</c:v>
                </c:pt>
                <c:pt idx="2">
                  <c:v>0.1527</c:v>
                </c:pt>
                <c:pt idx="3">
                  <c:v>0.332</c:v>
                </c:pt>
                <c:pt idx="4">
                  <c:v>0.3715</c:v>
                </c:pt>
                <c:pt idx="5">
                  <c:v>0.477</c:v>
                </c:pt>
                <c:pt idx="6">
                  <c:v>0.5162</c:v>
                </c:pt>
                <c:pt idx="7" c:formatCode="0%">
                  <c:v>0.72</c:v>
                </c:pt>
              </c:numCache>
            </c:numRef>
          </c:val>
        </c:ser>
        <c:dLbls>
          <c:showLegendKey val="0"/>
          <c:showVal val="1"/>
          <c:showCatName val="0"/>
          <c:showSerName val="0"/>
          <c:showPercent val="0"/>
          <c:showBubbleSize val="0"/>
        </c:dLbls>
        <c:gapWidth val="182"/>
        <c:axId val="339372816"/>
        <c:axId val="339373208"/>
      </c:barChart>
      <c:catAx>
        <c:axId val="3393728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73208"/>
        <c:crosses val="autoZero"/>
        <c:auto val="1"/>
        <c:lblAlgn val="ctr"/>
        <c:lblOffset val="100"/>
        <c:noMultiLvlLbl val="0"/>
      </c:catAx>
      <c:valAx>
        <c:axId val="3393732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72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物联网安全风险</a:t>
            </a:r>
            <a:endParaRPr lang="zh-CN" altLang="en-US" b="1"/>
          </a:p>
        </c:rich>
      </c:tx>
      <c:layout/>
      <c:overlay val="0"/>
      <c:spPr>
        <a:noFill/>
        <a:ln>
          <a:noFill/>
        </a:ln>
        <a:effectLst/>
      </c:spPr>
    </c:title>
    <c:autoTitleDeleted val="0"/>
    <c:plotArea>
      <c:layout>
        <c:manualLayout>
          <c:layoutTarget val="inner"/>
          <c:xMode val="edge"/>
          <c:yMode val="edge"/>
          <c:x val="0.492126173850229"/>
          <c:y val="0.1955533097524"/>
          <c:w val="0.465494823019504"/>
          <c:h val="0.696008084891359"/>
        </c:manualLayout>
      </c:layout>
      <c:barChart>
        <c:barDir val="bar"/>
        <c:grouping val="clustered"/>
        <c:varyColors val="0"/>
        <c:ser>
          <c:idx val="0"/>
          <c:order val="0"/>
          <c:tx>
            <c:strRef>
              <c:f>全国从业专题C!$B$107:$B$108</c:f>
              <c:strCache>
                <c:ptCount val="1"/>
                <c:pt idx="0">
                  <c:v>您认为当下的物联网安全风险主要存在哪些方面？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全国从业专题C!$A$109:$A$113</c:f>
              <c:strCache>
                <c:ptCount val="5"/>
                <c:pt idx="0">
                  <c:v>其他</c:v>
                </c:pt>
                <c:pt idx="1">
                  <c:v>物联网使用人员易误操作(未识别钓鱼网站、使用公共Wi-Fi读取敏感软件等)</c:v>
                </c:pt>
                <c:pt idx="2">
                  <c:v>企业未建立完善的安全管理机制(不重视安全风险评估工作等)</c:v>
                </c:pt>
                <c:pt idx="3">
                  <c:v>物联网设备不安全(硬件、软件、数据存储等)</c:v>
                </c:pt>
                <c:pt idx="4">
                  <c:v>信息安全风险高(数据泄露、数据破坏等)</c:v>
                </c:pt>
              </c:strCache>
            </c:strRef>
          </c:cat>
          <c:val>
            <c:numRef>
              <c:f>全国从业专题C!$B$109:$B$113</c:f>
              <c:numCache>
                <c:formatCode>0.00%</c:formatCode>
                <c:ptCount val="5"/>
                <c:pt idx="0">
                  <c:v>0.0437</c:v>
                </c:pt>
                <c:pt idx="1">
                  <c:v>0.5141</c:v>
                </c:pt>
                <c:pt idx="2">
                  <c:v>0.521</c:v>
                </c:pt>
                <c:pt idx="3">
                  <c:v>0.6526</c:v>
                </c:pt>
                <c:pt idx="4">
                  <c:v>0.7712</c:v>
                </c:pt>
              </c:numCache>
            </c:numRef>
          </c:val>
        </c:ser>
        <c:dLbls>
          <c:showLegendKey val="0"/>
          <c:showVal val="1"/>
          <c:showCatName val="0"/>
          <c:showSerName val="0"/>
          <c:showPercent val="0"/>
          <c:showBubbleSize val="0"/>
        </c:dLbls>
        <c:gapWidth val="182"/>
        <c:axId val="339373992"/>
        <c:axId val="339374384"/>
      </c:barChart>
      <c:catAx>
        <c:axId val="339373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74384"/>
        <c:crosses val="autoZero"/>
        <c:auto val="1"/>
        <c:lblAlgn val="ctr"/>
        <c:lblOffset val="100"/>
        <c:noMultiLvlLbl val="0"/>
      </c:catAx>
      <c:valAx>
        <c:axId val="33937438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p>
        </c:txPr>
        <c:crossAx val="339373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数字政府和智慧城市的网络安全状况评价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全国从业专题C!$B$114:$B$115</c:f>
              <c:strCache>
                <c:ptCount val="1"/>
                <c:pt idx="0">
                  <c:v>您对数字政府和智慧城市的网络安全状况评价？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全国从业专题C!$A$116:$A$120</c:f>
              <c:strCache>
                <c:ptCount val="5"/>
                <c:pt idx="0">
                  <c:v>非常安全</c:v>
                </c:pt>
                <c:pt idx="1">
                  <c:v>比较安全</c:v>
                </c:pt>
                <c:pt idx="2">
                  <c:v>一般</c:v>
                </c:pt>
                <c:pt idx="3">
                  <c:v>比较不安全</c:v>
                </c:pt>
                <c:pt idx="4">
                  <c:v>非常不安全</c:v>
                </c:pt>
              </c:strCache>
            </c:strRef>
          </c:cat>
          <c:val>
            <c:numRef>
              <c:f>全国从业专题C!$B$116:$B$120</c:f>
              <c:numCache>
                <c:formatCode>0.00%</c:formatCode>
                <c:ptCount val="5"/>
                <c:pt idx="0">
                  <c:v>0.1019</c:v>
                </c:pt>
                <c:pt idx="1">
                  <c:v>0.4242</c:v>
                </c:pt>
                <c:pt idx="2">
                  <c:v>0.4054</c:v>
                </c:pt>
                <c:pt idx="3">
                  <c:v>0.0468</c:v>
                </c:pt>
                <c:pt idx="4">
                  <c:v>0.0215</c:v>
                </c:pt>
              </c:numCache>
            </c:numRef>
          </c:val>
        </c:ser>
        <c:dLbls>
          <c:showLegendKey val="0"/>
          <c:showVal val="1"/>
          <c:showCatName val="0"/>
          <c:showSerName val="0"/>
          <c:showPercent val="0"/>
          <c:showBubbleSize val="0"/>
        </c:dLbls>
        <c:gapWidth val="219"/>
        <c:overlap val="-27"/>
        <c:axId val="339375168"/>
        <c:axId val="339375560"/>
      </c:barChart>
      <c:catAx>
        <c:axId val="339375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75560"/>
        <c:crosses val="autoZero"/>
        <c:auto val="1"/>
        <c:lblAlgn val="ctr"/>
        <c:lblOffset val="100"/>
        <c:noMultiLvlLbl val="0"/>
      </c:catAx>
      <c:valAx>
        <c:axId val="3393755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75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数字政府和智慧城市中新技术的应用效果评价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全国从业专题C!$B$121:$B$122</c:f>
              <c:strCache>
                <c:ptCount val="1"/>
                <c:pt idx="0">
                  <c:v>您对数字政府和智慧城市中新技术的应用效果评价？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全国从业专题C!$A$123:$A$127</c:f>
              <c:strCache>
                <c:ptCount val="5"/>
                <c:pt idx="0">
                  <c:v>非常满意</c:v>
                </c:pt>
                <c:pt idx="1">
                  <c:v>满意</c:v>
                </c:pt>
                <c:pt idx="2">
                  <c:v>一般</c:v>
                </c:pt>
                <c:pt idx="3">
                  <c:v>不满意</c:v>
                </c:pt>
                <c:pt idx="4">
                  <c:v>非常不满意</c:v>
                </c:pt>
              </c:strCache>
            </c:strRef>
          </c:cat>
          <c:val>
            <c:numRef>
              <c:f>全国从业专题C!$B$123:$B$127</c:f>
              <c:numCache>
                <c:formatCode>0.00%</c:formatCode>
                <c:ptCount val="5"/>
                <c:pt idx="0">
                  <c:v>0.117</c:v>
                </c:pt>
                <c:pt idx="1">
                  <c:v>0.3872</c:v>
                </c:pt>
                <c:pt idx="2">
                  <c:v>0.4459</c:v>
                </c:pt>
                <c:pt idx="3">
                  <c:v>0.0331</c:v>
                </c:pt>
                <c:pt idx="4">
                  <c:v>0.0166</c:v>
                </c:pt>
              </c:numCache>
            </c:numRef>
          </c:val>
        </c:ser>
        <c:dLbls>
          <c:showLegendKey val="0"/>
          <c:showVal val="1"/>
          <c:showCatName val="0"/>
          <c:showSerName val="0"/>
          <c:showPercent val="0"/>
          <c:showBubbleSize val="0"/>
        </c:dLbls>
        <c:gapWidth val="219"/>
        <c:overlap val="-27"/>
        <c:axId val="339376344"/>
        <c:axId val="339376736"/>
      </c:barChart>
      <c:catAx>
        <c:axId val="339376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76736"/>
        <c:crosses val="autoZero"/>
        <c:auto val="1"/>
        <c:lblAlgn val="ctr"/>
        <c:lblOffset val="100"/>
        <c:noMultiLvlLbl val="0"/>
      </c:catAx>
      <c:valAx>
        <c:axId val="3393767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76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加强新技术应用的网络安全保障的建议</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全国从业专题C!$B$128:$B$129</c:f>
              <c:strCache>
                <c:ptCount val="1"/>
                <c:pt idx="0">
                  <c:v>您对加强新技术应用的网络安全保障有哪些建议？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全国从业专题C!$A$130:$A$137</c:f>
              <c:strCache>
                <c:ptCount val="8"/>
                <c:pt idx="0">
                  <c:v>其他</c:v>
                </c:pt>
                <c:pt idx="1">
                  <c:v>加强国际交流，应对共有安全风险</c:v>
                </c:pt>
                <c:pt idx="2">
                  <c:v>加大社会宣传，增强防范与安全意识</c:v>
                </c:pt>
                <c:pt idx="3">
                  <c:v>强化标准引领，构建安全评估体系</c:v>
                </c:pt>
                <c:pt idx="4">
                  <c:v>培养专业人才，提升人员就业技能</c:v>
                </c:pt>
                <c:pt idx="5">
                  <c:v>健全行业监管，加大执法与惩戒力度</c:v>
                </c:pt>
                <c:pt idx="6">
                  <c:v>完善法律法规，制定伦理道德规范</c:v>
                </c:pt>
                <c:pt idx="7">
                  <c:v>加强自主创新，加快技术研发</c:v>
                </c:pt>
              </c:strCache>
            </c:strRef>
          </c:cat>
          <c:val>
            <c:numRef>
              <c:f>全国从业专题C!$B$130:$B$137</c:f>
              <c:numCache>
                <c:formatCode>0.00%</c:formatCode>
                <c:ptCount val="8"/>
                <c:pt idx="0">
                  <c:v>0.0357</c:v>
                </c:pt>
                <c:pt idx="1">
                  <c:v>0.4855</c:v>
                </c:pt>
                <c:pt idx="2">
                  <c:v>0.571</c:v>
                </c:pt>
                <c:pt idx="3">
                  <c:v>0.617</c:v>
                </c:pt>
                <c:pt idx="4">
                  <c:v>0.6786</c:v>
                </c:pt>
                <c:pt idx="5">
                  <c:v>0.7274</c:v>
                </c:pt>
                <c:pt idx="6">
                  <c:v>0.7614</c:v>
                </c:pt>
                <c:pt idx="7">
                  <c:v>0.7767</c:v>
                </c:pt>
              </c:numCache>
            </c:numRef>
          </c:val>
        </c:ser>
        <c:dLbls>
          <c:showLegendKey val="0"/>
          <c:showVal val="1"/>
          <c:showCatName val="0"/>
          <c:showSerName val="0"/>
          <c:showPercent val="0"/>
          <c:showBubbleSize val="0"/>
        </c:dLbls>
        <c:gapWidth val="182"/>
        <c:axId val="339377520"/>
        <c:axId val="339377912"/>
      </c:barChart>
      <c:catAx>
        <c:axId val="3393775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77912"/>
        <c:crosses val="autoZero"/>
        <c:auto val="1"/>
        <c:lblAlgn val="ctr"/>
        <c:lblOffset val="100"/>
        <c:noMultiLvlLbl val="0"/>
      </c:catAx>
      <c:valAx>
        <c:axId val="3393779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p>
        </c:txPr>
        <c:crossAx val="339377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所在单位网络安全科研经费预算情况</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全国从业专题D!$B$5:$B$6</c:f>
              <c:strCache>
                <c:ptCount val="1"/>
                <c:pt idx="0">
                  <c:v>您所在单位在网络安全方面有没有专门的科研经费预算？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全国从业专题D!$A$7:$A$11</c:f>
              <c:strCache>
                <c:ptCount val="5"/>
                <c:pt idx="0">
                  <c:v>预算充裕</c:v>
                </c:pt>
                <c:pt idx="1">
                  <c:v>预算较充裕</c:v>
                </c:pt>
                <c:pt idx="2">
                  <c:v>一般</c:v>
                </c:pt>
                <c:pt idx="3">
                  <c:v>预算较少</c:v>
                </c:pt>
                <c:pt idx="4">
                  <c:v>没有预算</c:v>
                </c:pt>
              </c:strCache>
            </c:strRef>
          </c:cat>
          <c:val>
            <c:numRef>
              <c:f>全国从业专题D!$B$7:$B$11</c:f>
              <c:numCache>
                <c:formatCode>0.00%</c:formatCode>
                <c:ptCount val="5"/>
                <c:pt idx="0">
                  <c:v>0.0878</c:v>
                </c:pt>
                <c:pt idx="1">
                  <c:v>0.1903</c:v>
                </c:pt>
                <c:pt idx="2">
                  <c:v>0.3881</c:v>
                </c:pt>
                <c:pt idx="3">
                  <c:v>0.1741</c:v>
                </c:pt>
                <c:pt idx="4">
                  <c:v>0.1594</c:v>
                </c:pt>
              </c:numCache>
            </c:numRef>
          </c:val>
        </c:ser>
        <c:dLbls>
          <c:showLegendKey val="0"/>
          <c:showVal val="1"/>
          <c:showCatName val="0"/>
          <c:showSerName val="0"/>
          <c:showPercent val="0"/>
          <c:showBubbleSize val="0"/>
        </c:dLbls>
        <c:gapWidth val="219"/>
        <c:overlap val="-27"/>
        <c:axId val="339378696"/>
        <c:axId val="339379088"/>
      </c:barChart>
      <c:catAx>
        <c:axId val="339378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79088"/>
        <c:crosses val="autoZero"/>
        <c:auto val="1"/>
        <c:lblAlgn val="ctr"/>
        <c:lblOffset val="100"/>
        <c:noMultiLvlLbl val="0"/>
      </c:catAx>
      <c:valAx>
        <c:axId val="3393790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78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疫情冲击对本单位网络安全资金投入的影响 </a:t>
            </a:r>
            <a:endParaRPr lang="zh-CN" altLang="en-US" b="1"/>
          </a:p>
        </c:rich>
      </c:tx>
      <c:layout>
        <c:manualLayout>
          <c:xMode val="edge"/>
          <c:yMode val="edge"/>
          <c:x val="0.178489823087637"/>
          <c:y val="0.0277777777777778"/>
        </c:manualLayout>
      </c:layout>
      <c:overlay val="0"/>
      <c:spPr>
        <a:noFill/>
        <a:ln>
          <a:noFill/>
        </a:ln>
        <a:effectLst/>
      </c:spPr>
    </c:title>
    <c:autoTitleDeleted val="0"/>
    <c:plotArea>
      <c:layout/>
      <c:barChart>
        <c:barDir val="col"/>
        <c:grouping val="clustered"/>
        <c:varyColors val="0"/>
        <c:ser>
          <c:idx val="0"/>
          <c:order val="0"/>
          <c:tx>
            <c:strRef>
              <c:f>全国从业专题D!$B$12:$B$13</c:f>
              <c:strCache>
                <c:ptCount val="1"/>
                <c:pt idx="0">
                  <c:v>全球疫情冲击带来的经济萎缩、收入减少对本单位网络安全方面的资金投入有什么影响？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全国从业专题D!$A$14:$A$18</c:f>
              <c:strCache>
                <c:ptCount val="5"/>
                <c:pt idx="0">
                  <c:v>投入明显增加</c:v>
                </c:pt>
                <c:pt idx="1">
                  <c:v>投入有所增加</c:v>
                </c:pt>
                <c:pt idx="2">
                  <c:v>投入资金不变</c:v>
                </c:pt>
                <c:pt idx="3">
                  <c:v>投入有所减少</c:v>
                </c:pt>
                <c:pt idx="4">
                  <c:v>投入明显减少</c:v>
                </c:pt>
              </c:strCache>
            </c:strRef>
          </c:cat>
          <c:val>
            <c:numRef>
              <c:f>全国从业专题D!$B$14:$B$18</c:f>
              <c:numCache>
                <c:formatCode>0.00%</c:formatCode>
                <c:ptCount val="5"/>
                <c:pt idx="0">
                  <c:v>0.1034</c:v>
                </c:pt>
                <c:pt idx="1">
                  <c:v>0.238</c:v>
                </c:pt>
                <c:pt idx="2">
                  <c:v>0.2947</c:v>
                </c:pt>
                <c:pt idx="3">
                  <c:v>0.2438</c:v>
                </c:pt>
                <c:pt idx="4">
                  <c:v>0.1198</c:v>
                </c:pt>
              </c:numCache>
            </c:numRef>
          </c:val>
        </c:ser>
        <c:dLbls>
          <c:showLegendKey val="0"/>
          <c:showVal val="1"/>
          <c:showCatName val="0"/>
          <c:showSerName val="0"/>
          <c:showPercent val="0"/>
          <c:showBubbleSize val="0"/>
        </c:dLbls>
        <c:gapWidth val="219"/>
        <c:overlap val="-27"/>
        <c:axId val="339379872"/>
        <c:axId val="339380264"/>
      </c:barChart>
      <c:catAx>
        <c:axId val="339379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80264"/>
        <c:crosses val="autoZero"/>
        <c:auto val="1"/>
        <c:lblAlgn val="ctr"/>
        <c:lblOffset val="100"/>
        <c:noMultiLvlLbl val="0"/>
      </c:catAx>
      <c:valAx>
        <c:axId val="3393802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79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zh-CN" altLang="en-US" b="1"/>
              <a:t>网民安全感变化评价图</a:t>
            </a:r>
            <a:endParaRPr lang="zh-CN" altLang="en-US" b="1"/>
          </a:p>
        </c:rich>
      </c:tx>
      <c:layout/>
      <c:overlay val="0"/>
      <c:spPr>
        <a:noFill/>
        <a:ln>
          <a:noFill/>
        </a:ln>
        <a:effectLst/>
      </c:spPr>
    </c:title>
    <c:autoTitleDeleted val="0"/>
    <c:plotArea>
      <c:layout/>
      <c:barChart>
        <c:barDir val="col"/>
        <c:grouping val="clustered"/>
        <c:varyColors val="0"/>
        <c:ser>
          <c:idx val="0"/>
          <c:order val="0"/>
          <c:tx>
            <c:strRef>
              <c:f>[重庆从业人员.xlsx]主问卷!$C$62</c:f>
              <c:strCache>
                <c:ptCount val="1"/>
                <c:pt idx="0">
                  <c:v>重庆数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[重庆从业人员.xlsx]主问卷!$B$63:$B$67</c:f>
              <c:strCache>
                <c:ptCount val="5"/>
                <c:pt idx="0">
                  <c:v>明显改善</c:v>
                </c:pt>
                <c:pt idx="1">
                  <c:v>略有改善</c:v>
                </c:pt>
                <c:pt idx="2">
                  <c:v>没有变化</c:v>
                </c:pt>
                <c:pt idx="3">
                  <c:v>略有恶化</c:v>
                </c:pt>
                <c:pt idx="4">
                  <c:v>明显恶化</c:v>
                </c:pt>
              </c:strCache>
            </c:strRef>
          </c:cat>
          <c:val>
            <c:numRef>
              <c:f>[重庆从业人员.xlsx]主问卷!$C$63:$C$67</c:f>
            </c:numRef>
          </c:val>
        </c:ser>
        <c:ser>
          <c:idx val="1"/>
          <c:order val="1"/>
          <c:tx>
            <c:strRef>
              <c:f>[重庆从业人员.xlsx]主问卷!$D$62</c:f>
              <c:strCache>
                <c:ptCount val="1"/>
                <c:pt idx="0">
                  <c:v>从业人员</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[重庆从业人员.xlsx]主问卷!$B$63:$B$67</c:f>
              <c:strCache>
                <c:ptCount val="5"/>
                <c:pt idx="0">
                  <c:v>明显改善</c:v>
                </c:pt>
                <c:pt idx="1">
                  <c:v>略有改善</c:v>
                </c:pt>
                <c:pt idx="2">
                  <c:v>没有变化</c:v>
                </c:pt>
                <c:pt idx="3">
                  <c:v>略有恶化</c:v>
                </c:pt>
                <c:pt idx="4">
                  <c:v>明显恶化</c:v>
                </c:pt>
              </c:strCache>
            </c:strRef>
          </c:cat>
          <c:val>
            <c:numRef>
              <c:f>[重庆从业人员.xlsx]主问卷!$D$63:$D$67</c:f>
              <c:numCache>
                <c:formatCode>0.00%</c:formatCode>
                <c:ptCount val="5"/>
                <c:pt idx="0">
                  <c:v>0.2999</c:v>
                </c:pt>
                <c:pt idx="1">
                  <c:v>0.4696</c:v>
                </c:pt>
                <c:pt idx="2">
                  <c:v>0.1721</c:v>
                </c:pt>
                <c:pt idx="3">
                  <c:v>0.0356</c:v>
                </c:pt>
                <c:pt idx="4">
                  <c:v>0.0227</c:v>
                </c:pt>
              </c:numCache>
            </c:numRef>
          </c:val>
        </c:ser>
        <c:ser>
          <c:idx val="2"/>
          <c:order val="2"/>
          <c:tx>
            <c:strRef>
              <c:f>[重庆从业人员.xlsx]主问卷!$E$62</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[重庆从业人员.xlsx]主问卷!$B$63:$B$67</c:f>
              <c:strCache>
                <c:ptCount val="5"/>
                <c:pt idx="0">
                  <c:v>明显改善</c:v>
                </c:pt>
                <c:pt idx="1">
                  <c:v>略有改善</c:v>
                </c:pt>
                <c:pt idx="2">
                  <c:v>没有变化</c:v>
                </c:pt>
                <c:pt idx="3">
                  <c:v>略有恶化</c:v>
                </c:pt>
                <c:pt idx="4">
                  <c:v>明显恶化</c:v>
                </c:pt>
              </c:strCache>
            </c:strRef>
          </c:cat>
          <c:val>
            <c:numRef>
              <c:f>[重庆从业人员.xlsx]主问卷!$E$63:$E$67</c:f>
            </c:numRef>
          </c:val>
        </c:ser>
        <c:ser>
          <c:idx val="3"/>
          <c:order val="3"/>
          <c:tx>
            <c:strRef>
              <c:f>[重庆从业人员.xlsx]主问卷!$F$62</c:f>
              <c:strCache>
                <c:ptCount val="1"/>
                <c:pt idx="0">
                  <c:v>公众网民</c:v>
                </c:pt>
              </c:strCache>
            </c:strRef>
          </c:tx>
          <c:spPr>
            <a:solidFill>
              <a:schemeClr val="accent4"/>
            </a:solidFill>
            <a:ln>
              <a:noFill/>
            </a:ln>
            <a:effectLst/>
          </c:spPr>
          <c:invertIfNegative val="0"/>
          <c:dLbls>
            <c:dLbl>
              <c:idx val="0"/>
              <c:layout>
                <c:manualLayout>
                  <c:x val="0.00342552651611266"/>
                  <c:y val="-0.002764193068254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2456229383405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685105303222532"/>
                  <c:y val="-0.034871358707208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04034509007866"/>
                  <c:y val="-0.03189453540293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[重庆从业人员.xlsx]主问卷!$B$63:$B$67</c:f>
              <c:strCache>
                <c:ptCount val="5"/>
                <c:pt idx="0">
                  <c:v>明显改善</c:v>
                </c:pt>
                <c:pt idx="1">
                  <c:v>略有改善</c:v>
                </c:pt>
                <c:pt idx="2">
                  <c:v>没有变化</c:v>
                </c:pt>
                <c:pt idx="3">
                  <c:v>略有恶化</c:v>
                </c:pt>
                <c:pt idx="4">
                  <c:v>明显恶化</c:v>
                </c:pt>
              </c:strCache>
            </c:strRef>
          </c:cat>
          <c:val>
            <c:numRef>
              <c:f>[重庆从业人员.xlsx]主问卷!$F$63:$F$67</c:f>
              <c:numCache>
                <c:formatCode>0.00%</c:formatCode>
                <c:ptCount val="5"/>
                <c:pt idx="0">
                  <c:v>0.1253</c:v>
                </c:pt>
                <c:pt idx="1">
                  <c:v>0.3187</c:v>
                </c:pt>
                <c:pt idx="2">
                  <c:v>0.4311</c:v>
                </c:pt>
                <c:pt idx="3">
                  <c:v>0.0772</c:v>
                </c:pt>
                <c:pt idx="4">
                  <c:v>0.0477</c:v>
                </c:pt>
              </c:numCache>
            </c:numRef>
          </c:val>
        </c:ser>
        <c:dLbls>
          <c:showLegendKey val="0"/>
          <c:showVal val="1"/>
          <c:showCatName val="0"/>
          <c:showSerName val="0"/>
          <c:showPercent val="0"/>
          <c:showBubbleSize val="0"/>
        </c:dLbls>
        <c:gapWidth val="219"/>
        <c:overlap val="-27"/>
        <c:axId val="232415015"/>
        <c:axId val="216786107"/>
      </c:barChart>
      <c:catAx>
        <c:axId val="23241501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6786107"/>
        <c:crosses val="autoZero"/>
        <c:auto val="1"/>
        <c:lblAlgn val="ctr"/>
        <c:lblOffset val="100"/>
        <c:noMultiLvlLbl val="0"/>
      </c:catAx>
      <c:valAx>
        <c:axId val="21678610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241501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网络安全科研课题立项和管理方面的满意度</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全国从业专题D!$B$19:$B$20</c:f>
              <c:strCache>
                <c:ptCount val="1"/>
                <c:pt idx="0">
                  <c:v>您对网络安全科研课题立项和管理方面的状况是否满意？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全国从业专题D!$A$21:$A$25</c:f>
              <c:strCache>
                <c:ptCount val="5"/>
                <c:pt idx="0">
                  <c:v>非常满意</c:v>
                </c:pt>
                <c:pt idx="1">
                  <c:v>满意</c:v>
                </c:pt>
                <c:pt idx="2">
                  <c:v>一般</c:v>
                </c:pt>
                <c:pt idx="3">
                  <c:v>不满意</c:v>
                </c:pt>
                <c:pt idx="4">
                  <c:v>非常不满意</c:v>
                </c:pt>
              </c:strCache>
            </c:strRef>
          </c:cat>
          <c:val>
            <c:numRef>
              <c:f>全国从业专题D!$B$21:$B$25</c:f>
              <c:numCache>
                <c:formatCode>0.00%</c:formatCode>
                <c:ptCount val="5"/>
                <c:pt idx="0">
                  <c:v>0.1055</c:v>
                </c:pt>
                <c:pt idx="1">
                  <c:v>0.3158</c:v>
                </c:pt>
                <c:pt idx="2">
                  <c:v>0.4566</c:v>
                </c:pt>
                <c:pt idx="3">
                  <c:v>0.0851</c:v>
                </c:pt>
                <c:pt idx="4">
                  <c:v>0.0368</c:v>
                </c:pt>
              </c:numCache>
            </c:numRef>
          </c:val>
        </c:ser>
        <c:dLbls>
          <c:showLegendKey val="0"/>
          <c:showVal val="1"/>
          <c:showCatName val="0"/>
          <c:showSerName val="0"/>
          <c:showPercent val="0"/>
          <c:showBubbleSize val="0"/>
        </c:dLbls>
        <c:gapWidth val="219"/>
        <c:overlap val="-27"/>
        <c:axId val="339381048"/>
        <c:axId val="339381440"/>
      </c:barChart>
      <c:catAx>
        <c:axId val="339381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81440"/>
        <c:crosses val="autoZero"/>
        <c:auto val="1"/>
        <c:lblAlgn val="ctr"/>
        <c:lblOffset val="100"/>
        <c:noMultiLvlLbl val="0"/>
      </c:catAx>
      <c:valAx>
        <c:axId val="3393814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81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网络安全科研工作需要改善的地方</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全国从业专题D!$B$26:$B$27</c:f>
              <c:strCache>
                <c:ptCount val="1"/>
                <c:pt idx="0">
                  <c:v>您认为网络安全科研工作开展在哪些方面需要改善？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全国从业专题D!$A$28:$A$33</c:f>
              <c:strCache>
                <c:ptCount val="6"/>
                <c:pt idx="0">
                  <c:v>其他</c:v>
                </c:pt>
                <c:pt idx="1">
                  <c:v>立项评选</c:v>
                </c:pt>
                <c:pt idx="2">
                  <c:v>成果管理</c:v>
                </c:pt>
                <c:pt idx="3">
                  <c:v>项目管理</c:v>
                </c:pt>
                <c:pt idx="4">
                  <c:v>经费管理</c:v>
                </c:pt>
                <c:pt idx="5">
                  <c:v>课题规划</c:v>
                </c:pt>
              </c:strCache>
            </c:strRef>
          </c:cat>
          <c:val>
            <c:numRef>
              <c:f>全国从业专题D!$B$28:$B$33</c:f>
              <c:numCache>
                <c:formatCode>0.00%</c:formatCode>
                <c:ptCount val="6"/>
                <c:pt idx="0">
                  <c:v>0.0572</c:v>
                </c:pt>
                <c:pt idx="1">
                  <c:v>0.5126</c:v>
                </c:pt>
                <c:pt idx="2">
                  <c:v>0.5355</c:v>
                </c:pt>
                <c:pt idx="3">
                  <c:v>0.5584</c:v>
                </c:pt>
                <c:pt idx="4">
                  <c:v>0.5829</c:v>
                </c:pt>
                <c:pt idx="5">
                  <c:v>0.6181</c:v>
                </c:pt>
              </c:numCache>
            </c:numRef>
          </c:val>
        </c:ser>
        <c:dLbls>
          <c:showLegendKey val="0"/>
          <c:showVal val="1"/>
          <c:showCatName val="0"/>
          <c:showSerName val="0"/>
          <c:showPercent val="0"/>
          <c:showBubbleSize val="0"/>
        </c:dLbls>
        <c:gapWidth val="182"/>
        <c:axId val="339382224"/>
        <c:axId val="339382616"/>
      </c:barChart>
      <c:catAx>
        <c:axId val="3393822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82616"/>
        <c:crosses val="autoZero"/>
        <c:auto val="1"/>
        <c:lblAlgn val="ctr"/>
        <c:lblOffset val="100"/>
        <c:noMultiLvlLbl val="0"/>
      </c:catAx>
      <c:valAx>
        <c:axId val="3393826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82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网络安全方面的科研成果转化满意度评价</a:t>
            </a:r>
            <a:endParaRPr lang="zh-CN" altLang="en-US" b="1"/>
          </a:p>
        </c:rich>
      </c:tx>
      <c:layout>
        <c:manualLayout>
          <c:xMode val="edge"/>
          <c:yMode val="edge"/>
          <c:x val="0.161255894762968"/>
          <c:y val="0.0277777777777778"/>
        </c:manualLayout>
      </c:layout>
      <c:overlay val="0"/>
      <c:spPr>
        <a:noFill/>
        <a:ln>
          <a:noFill/>
        </a:ln>
        <a:effectLst/>
      </c:spPr>
    </c:title>
    <c:autoTitleDeleted val="0"/>
    <c:plotArea>
      <c:layout/>
      <c:barChart>
        <c:barDir val="col"/>
        <c:grouping val="clustered"/>
        <c:varyColors val="0"/>
        <c:ser>
          <c:idx val="0"/>
          <c:order val="0"/>
          <c:tx>
            <c:strRef>
              <c:f>全国从业专题D!$B$34:$B$35</c:f>
              <c:strCache>
                <c:ptCount val="1"/>
                <c:pt idx="0">
                  <c:v>您对网络安全方面的科研成果转化状况是否满意？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全国从业专题D!$A$36:$A$40</c:f>
              <c:strCache>
                <c:ptCount val="5"/>
                <c:pt idx="0">
                  <c:v>非常满意</c:v>
                </c:pt>
                <c:pt idx="1">
                  <c:v>满意</c:v>
                </c:pt>
                <c:pt idx="2">
                  <c:v>一般</c:v>
                </c:pt>
                <c:pt idx="3">
                  <c:v>不满意</c:v>
                </c:pt>
                <c:pt idx="4">
                  <c:v>非常不满意</c:v>
                </c:pt>
              </c:strCache>
            </c:strRef>
          </c:cat>
          <c:val>
            <c:numRef>
              <c:f>全国从业专题D!$B$36:$B$40</c:f>
              <c:numCache>
                <c:formatCode>0.00%</c:formatCode>
                <c:ptCount val="5"/>
                <c:pt idx="0">
                  <c:v>0.0979</c:v>
                </c:pt>
                <c:pt idx="1">
                  <c:v>0.3314</c:v>
                </c:pt>
                <c:pt idx="2">
                  <c:v>0.4661</c:v>
                </c:pt>
                <c:pt idx="3">
                  <c:v>0.0685</c:v>
                </c:pt>
                <c:pt idx="4">
                  <c:v>0.0359</c:v>
                </c:pt>
              </c:numCache>
            </c:numRef>
          </c:val>
        </c:ser>
        <c:dLbls>
          <c:showLegendKey val="0"/>
          <c:showVal val="1"/>
          <c:showCatName val="0"/>
          <c:showSerName val="0"/>
          <c:showPercent val="0"/>
          <c:showBubbleSize val="0"/>
        </c:dLbls>
        <c:gapWidth val="219"/>
        <c:overlap val="-27"/>
        <c:axId val="339383400"/>
        <c:axId val="339383792"/>
      </c:barChart>
      <c:catAx>
        <c:axId val="339383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83792"/>
        <c:crosses val="autoZero"/>
        <c:auto val="1"/>
        <c:lblAlgn val="ctr"/>
        <c:lblOffset val="100"/>
        <c:noMultiLvlLbl val="0"/>
      </c:catAx>
      <c:valAx>
        <c:axId val="3393837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83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网络安全科研成果转化感到不满意的地方</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全国从业专题D!$B$41:$B$42</c:f>
              <c:strCache>
                <c:ptCount val="1"/>
                <c:pt idx="0">
                  <c:v>您对以下哪些方面感到不满意？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全国从业专题D!$A$43:$A$48</c:f>
              <c:strCache>
                <c:ptCount val="6"/>
                <c:pt idx="0">
                  <c:v>其他</c:v>
                </c:pt>
                <c:pt idx="1">
                  <c:v>保障服务</c:v>
                </c:pt>
                <c:pt idx="2">
                  <c:v>市场渠道</c:v>
                </c:pt>
                <c:pt idx="3">
                  <c:v>管理机制</c:v>
                </c:pt>
                <c:pt idx="4">
                  <c:v>政策支持</c:v>
                </c:pt>
                <c:pt idx="5">
                  <c:v>成果保护</c:v>
                </c:pt>
              </c:strCache>
            </c:strRef>
          </c:cat>
          <c:val>
            <c:numRef>
              <c:f>全国从业专题D!$B$43:$B$48</c:f>
              <c:numCache>
                <c:formatCode>0.00%</c:formatCode>
                <c:ptCount val="6"/>
                <c:pt idx="0">
                  <c:v>0.0787</c:v>
                </c:pt>
                <c:pt idx="1">
                  <c:v>0.4881</c:v>
                </c:pt>
                <c:pt idx="2">
                  <c:v>0.5354</c:v>
                </c:pt>
                <c:pt idx="3">
                  <c:v>0.5826</c:v>
                </c:pt>
                <c:pt idx="4">
                  <c:v>0.6062</c:v>
                </c:pt>
                <c:pt idx="5">
                  <c:v>0.685</c:v>
                </c:pt>
              </c:numCache>
            </c:numRef>
          </c:val>
        </c:ser>
        <c:dLbls>
          <c:showLegendKey val="0"/>
          <c:showVal val="1"/>
          <c:showCatName val="0"/>
          <c:showSerName val="0"/>
          <c:showPercent val="0"/>
          <c:showBubbleSize val="0"/>
        </c:dLbls>
        <c:gapWidth val="182"/>
        <c:axId val="339384576"/>
        <c:axId val="339384968"/>
      </c:barChart>
      <c:catAx>
        <c:axId val="3393845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84968"/>
        <c:crosses val="autoZero"/>
        <c:auto val="1"/>
        <c:lblAlgn val="ctr"/>
        <c:lblOffset val="100"/>
        <c:noMultiLvlLbl val="0"/>
      </c:catAx>
      <c:valAx>
        <c:axId val="3393849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84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所在单位有关网络安全的课程开设情况</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全国从业专题D!$B$49:$B$50</c:f>
              <c:strCache>
                <c:ptCount val="1"/>
                <c:pt idx="0">
                  <c:v>您所在单位开设了关于网络安全的课程吗？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全国从业专题D!$A$51:$A$55</c:f>
              <c:strCache>
                <c:ptCount val="5"/>
                <c:pt idx="0">
                  <c:v>不了解情况</c:v>
                </c:pt>
                <c:pt idx="1">
                  <c:v>没有开设</c:v>
                </c:pt>
                <c:pt idx="2">
                  <c:v>作为通识课程开设，属于必修课程</c:v>
                </c:pt>
                <c:pt idx="3">
                  <c:v>作为通识课程开设，属于选修课程</c:v>
                </c:pt>
                <c:pt idx="4">
                  <c:v>作为专业课程，只在信息类学院/研究室开设</c:v>
                </c:pt>
              </c:strCache>
            </c:strRef>
          </c:cat>
          <c:val>
            <c:numRef>
              <c:f>全国从业专题D!$B$51:$B$55</c:f>
              <c:numCache>
                <c:formatCode>0.00%</c:formatCode>
                <c:ptCount val="5"/>
                <c:pt idx="0">
                  <c:v>0.1685</c:v>
                </c:pt>
                <c:pt idx="1">
                  <c:v>0.1775</c:v>
                </c:pt>
                <c:pt idx="2">
                  <c:v>0.1791</c:v>
                </c:pt>
                <c:pt idx="3">
                  <c:v>0.2328</c:v>
                </c:pt>
                <c:pt idx="4">
                  <c:v>0.2418</c:v>
                </c:pt>
              </c:numCache>
            </c:numRef>
          </c:val>
        </c:ser>
        <c:dLbls>
          <c:showLegendKey val="0"/>
          <c:showVal val="1"/>
          <c:showCatName val="0"/>
          <c:showSerName val="0"/>
          <c:showPercent val="0"/>
          <c:showBubbleSize val="0"/>
        </c:dLbls>
        <c:gapWidth val="182"/>
        <c:axId val="339385752"/>
        <c:axId val="339386144"/>
      </c:barChart>
      <c:catAx>
        <c:axId val="3393857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86144"/>
        <c:crosses val="autoZero"/>
        <c:auto val="1"/>
        <c:lblAlgn val="ctr"/>
        <c:lblOffset val="100"/>
        <c:noMultiLvlLbl val="0"/>
      </c:catAx>
      <c:valAx>
        <c:axId val="33938614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85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网络安全专业人才评价和队伍建设存在的问题</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全国从业专题D!$B$56:$B$57</c:f>
              <c:strCache>
                <c:ptCount val="1"/>
                <c:pt idx="0">
                  <c:v>您认为网络安全专业人才评价和队伍建设方面存在哪些问题？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全国从业专题D!$A$58:$A$64</c:f>
              <c:strCache>
                <c:ptCount val="7"/>
                <c:pt idx="0">
                  <c:v>其他</c:v>
                </c:pt>
                <c:pt idx="1">
                  <c:v>评价标准脱离实际</c:v>
                </c:pt>
                <c:pt idx="2">
                  <c:v>任职资格管理不完善</c:v>
                </c:pt>
                <c:pt idx="3">
                  <c:v>专业不对口</c:v>
                </c:pt>
                <c:pt idx="4">
                  <c:v>继续教育流于形式</c:v>
                </c:pt>
                <c:pt idx="5">
                  <c:v>实训环境不足</c:v>
                </c:pt>
                <c:pt idx="6">
                  <c:v>职称不完善，晋升渠道不畅</c:v>
                </c:pt>
              </c:strCache>
            </c:strRef>
          </c:cat>
          <c:val>
            <c:numRef>
              <c:f>全国从业专题D!$B$58:$B$64</c:f>
              <c:numCache>
                <c:formatCode>0.00%</c:formatCode>
                <c:ptCount val="7"/>
                <c:pt idx="0">
                  <c:v>0.0717</c:v>
                </c:pt>
                <c:pt idx="1">
                  <c:v>0.3724</c:v>
                </c:pt>
                <c:pt idx="2">
                  <c:v>0.4784</c:v>
                </c:pt>
                <c:pt idx="3" c:formatCode="0%">
                  <c:v>0.48</c:v>
                </c:pt>
                <c:pt idx="4">
                  <c:v>0.5069</c:v>
                </c:pt>
                <c:pt idx="5">
                  <c:v>0.5582</c:v>
                </c:pt>
                <c:pt idx="6" c:formatCode="0%">
                  <c:v>0.59</c:v>
                </c:pt>
              </c:numCache>
            </c:numRef>
          </c:val>
        </c:ser>
        <c:dLbls>
          <c:showLegendKey val="0"/>
          <c:showVal val="1"/>
          <c:showCatName val="0"/>
          <c:showSerName val="0"/>
          <c:showPercent val="0"/>
          <c:showBubbleSize val="0"/>
        </c:dLbls>
        <c:gapWidth val="182"/>
        <c:axId val="438011416"/>
        <c:axId val="438011808"/>
      </c:barChart>
      <c:catAx>
        <c:axId val="438011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8011808"/>
        <c:crosses val="autoZero"/>
        <c:auto val="1"/>
        <c:lblAlgn val="ctr"/>
        <c:lblOffset val="100"/>
        <c:noMultiLvlLbl val="0"/>
      </c:catAx>
      <c:valAx>
        <c:axId val="4380118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8011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从业人员</a:t>
            </a:r>
            <a:r>
              <a:rPr lang="en-US" altLang="zh-CN" b="1"/>
              <a:t>-</a:t>
            </a:r>
            <a:r>
              <a:rPr lang="zh-CN" altLang="en-US" b="1"/>
              <a:t>公众网民对安全感变化的评价比较</a:t>
            </a:r>
            <a:endParaRPr lang="zh-CN" altLang="en-US" b="1"/>
          </a:p>
        </c:rich>
      </c:tx>
      <c:layout/>
      <c:overlay val="0"/>
      <c:spPr>
        <a:noFill/>
        <a:ln>
          <a:noFill/>
        </a:ln>
        <a:effectLst/>
      </c:spPr>
    </c:title>
    <c:autoTitleDeleted val="0"/>
    <c:plotArea>
      <c:layout/>
      <c:barChart>
        <c:barDir val="col"/>
        <c:grouping val="clustered"/>
        <c:varyColors val="0"/>
        <c:ser>
          <c:idx val="0"/>
          <c:order val="0"/>
          <c:tx>
            <c:strRef>
              <c:f>[重庆从业人员.xlsx]主问卷!$C$62</c:f>
              <c:strCache>
                <c:ptCount val="1"/>
                <c:pt idx="0">
                  <c:v>重庆数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[重庆从业人员.xlsx]主问卷!$B$63:$B$67</c:f>
              <c:strCache>
                <c:ptCount val="5"/>
                <c:pt idx="0">
                  <c:v>明显改善</c:v>
                </c:pt>
                <c:pt idx="1">
                  <c:v>略有改善</c:v>
                </c:pt>
                <c:pt idx="2">
                  <c:v>没有变化</c:v>
                </c:pt>
                <c:pt idx="3">
                  <c:v>略有恶化</c:v>
                </c:pt>
                <c:pt idx="4">
                  <c:v>明显恶化</c:v>
                </c:pt>
              </c:strCache>
            </c:strRef>
          </c:cat>
          <c:val>
            <c:numRef>
              <c:f>[重庆从业人员.xlsx]主问卷!$C$63:$C$67</c:f>
            </c:numRef>
          </c:val>
        </c:ser>
        <c:ser>
          <c:idx val="1"/>
          <c:order val="1"/>
          <c:tx>
            <c:strRef>
              <c:f>[重庆从业人员.xlsx]主问卷!$D$62</c:f>
              <c:strCache>
                <c:ptCount val="1"/>
                <c:pt idx="0">
                  <c:v>从业人员</c:v>
                </c:pt>
              </c:strCache>
            </c:strRef>
          </c:tx>
          <c:spPr>
            <a:solidFill>
              <a:schemeClr val="accent2"/>
            </a:solidFill>
            <a:ln>
              <a:noFill/>
            </a:ln>
            <a:effectLst/>
          </c:spPr>
          <c:invertIfNegative val="0"/>
          <c:dLbls>
            <c:dLbl>
              <c:idx val="2"/>
              <c:layout>
                <c:manualLayout>
                  <c:x val="-0.00654793085385018"/>
                  <c:y val="-0.002957906712172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65479308538501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81194342587742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[重庆从业人员.xlsx]主问卷!$B$63:$B$67</c:f>
              <c:strCache>
                <c:ptCount val="5"/>
                <c:pt idx="0">
                  <c:v>明显改善</c:v>
                </c:pt>
                <c:pt idx="1">
                  <c:v>略有改善</c:v>
                </c:pt>
                <c:pt idx="2">
                  <c:v>没有变化</c:v>
                </c:pt>
                <c:pt idx="3">
                  <c:v>略有恶化</c:v>
                </c:pt>
                <c:pt idx="4">
                  <c:v>明显恶化</c:v>
                </c:pt>
              </c:strCache>
            </c:strRef>
          </c:cat>
          <c:val>
            <c:numRef>
              <c:f>[重庆从业人员.xlsx]主问卷!$D$63:$D$67</c:f>
              <c:numCache>
                <c:formatCode>0.00%</c:formatCode>
                <c:ptCount val="5"/>
                <c:pt idx="0">
                  <c:v>0.2999</c:v>
                </c:pt>
                <c:pt idx="1">
                  <c:v>0.4696</c:v>
                </c:pt>
                <c:pt idx="2">
                  <c:v>0.1721</c:v>
                </c:pt>
                <c:pt idx="3">
                  <c:v>0.0356</c:v>
                </c:pt>
                <c:pt idx="4">
                  <c:v>0.0227</c:v>
                </c:pt>
              </c:numCache>
            </c:numRef>
          </c:val>
        </c:ser>
        <c:ser>
          <c:idx val="2"/>
          <c:order val="2"/>
          <c:tx>
            <c:strRef>
              <c:f>[重庆从业人员.xlsx]主问卷!$E$62</c:f>
              <c:strCache>
                <c:ptCount val="1"/>
                <c:pt idx="0">
                  <c:v>全国数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[重庆从业人员.xlsx]主问卷!$B$63:$B$67</c:f>
              <c:strCache>
                <c:ptCount val="5"/>
                <c:pt idx="0">
                  <c:v>明显改善</c:v>
                </c:pt>
                <c:pt idx="1">
                  <c:v>略有改善</c:v>
                </c:pt>
                <c:pt idx="2">
                  <c:v>没有变化</c:v>
                </c:pt>
                <c:pt idx="3">
                  <c:v>略有恶化</c:v>
                </c:pt>
                <c:pt idx="4">
                  <c:v>明显恶化</c:v>
                </c:pt>
              </c:strCache>
            </c:strRef>
          </c:cat>
          <c:val>
            <c:numRef>
              <c:f>[重庆从业人员.xlsx]主问卷!$E$63:$E$67</c:f>
            </c:numRef>
          </c:val>
        </c:ser>
        <c:ser>
          <c:idx val="3"/>
          <c:order val="3"/>
          <c:tx>
            <c:strRef>
              <c:f>[重庆从业人员.xlsx]主问卷!$F$62</c:f>
              <c:strCache>
                <c:ptCount val="1"/>
                <c:pt idx="0">
                  <c:v>公众网民</c:v>
                </c:pt>
              </c:strCache>
            </c:strRef>
          </c:tx>
          <c:spPr>
            <a:solidFill>
              <a:schemeClr val="accent4"/>
            </a:solidFill>
            <a:ln>
              <a:noFill/>
            </a:ln>
            <a:effectLst/>
          </c:spPr>
          <c:invertIfNegative val="0"/>
          <c:dLbls>
            <c:dLbl>
              <c:idx val="0"/>
              <c:layout>
                <c:manualLayout>
                  <c:x val="0.0130958617077004"/>
                  <c:y val="-0.005688282138794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13462545835516"/>
                  <c:y val="-0.005688282138794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[重庆从业人员.xlsx]主问卷!$B$63:$B$67</c:f>
              <c:strCache>
                <c:ptCount val="5"/>
                <c:pt idx="0">
                  <c:v>明显改善</c:v>
                </c:pt>
                <c:pt idx="1">
                  <c:v>略有改善</c:v>
                </c:pt>
                <c:pt idx="2">
                  <c:v>没有变化</c:v>
                </c:pt>
                <c:pt idx="3">
                  <c:v>略有恶化</c:v>
                </c:pt>
                <c:pt idx="4">
                  <c:v>明显恶化</c:v>
                </c:pt>
              </c:strCache>
            </c:strRef>
          </c:cat>
          <c:val>
            <c:numRef>
              <c:f>[重庆从业人员.xlsx]主问卷!$F$63:$F$67</c:f>
              <c:numCache>
                <c:formatCode>0.00%</c:formatCode>
                <c:ptCount val="5"/>
                <c:pt idx="0">
                  <c:v>0.1253</c:v>
                </c:pt>
                <c:pt idx="1">
                  <c:v>0.3187</c:v>
                </c:pt>
                <c:pt idx="2">
                  <c:v>0.4311</c:v>
                </c:pt>
                <c:pt idx="3">
                  <c:v>0.0772</c:v>
                </c:pt>
                <c:pt idx="4">
                  <c:v>0.0477</c:v>
                </c:pt>
              </c:numCache>
            </c:numRef>
          </c:val>
        </c:ser>
        <c:dLbls>
          <c:showLegendKey val="0"/>
          <c:showVal val="1"/>
          <c:showCatName val="0"/>
          <c:showSerName val="0"/>
          <c:showPercent val="0"/>
          <c:showBubbleSize val="0"/>
        </c:dLbls>
        <c:gapWidth val="219"/>
        <c:overlap val="-27"/>
        <c:axId val="640819696"/>
        <c:axId val="339387160"/>
      </c:barChart>
      <c:catAx>
        <c:axId val="6408196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387160"/>
        <c:crosses val="autoZero"/>
        <c:auto val="1"/>
        <c:lblAlgn val="ctr"/>
        <c:lblOffset val="100"/>
        <c:noMultiLvlLbl val="0"/>
      </c:catAx>
      <c:valAx>
        <c:axId val="3393871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08196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Info spid="_x0000_s2057"/>
    <customShpInfo spid="_x0000_s2056"/>
    <customShpInfo spid="_x0000_s2055"/>
  </customShpExts>
</s:customDat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289AF2-25B7-4A66-A062-8339BC35574F}">
  <ds:schemaRefs/>
</ds:datastoreItem>
</file>

<file path=customXml/itemProps3.xml><?xml version="1.0" encoding="utf-8"?>
<ds:datastoreItem xmlns:ds="http://schemas.openxmlformats.org/officeDocument/2006/customXml" ds:itemID="{1C40B179-DDFF-472B-9F7D-A670AB71363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89</Pages>
  <Words>6252</Words>
  <Characters>35638</Characters>
  <Lines>296</Lines>
  <Paragraphs>83</Paragraphs>
  <TotalTime>0</TotalTime>
  <ScaleCrop>false</ScaleCrop>
  <LinksUpToDate>false</LinksUpToDate>
  <CharactersWithSpaces>41807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2020-08-19T06:09:00Z</dcterms:created>
  <dc:creator>高工</dc:creator>
  <cp:keywords>网络安全感、满意度、调查</cp:keywords>
  <cp:lastModifiedBy>珍珠</cp:lastModifiedBy>
  <cp:lastPrinted>2019-09-13T16:59:00Z</cp:lastPrinted>
  <dcterms:modified xsi:type="dcterms:W3CDTF">2020-09-24T06:40:33Z</dcterms:modified>
  <dc:title>2019年全国网民网络安全感满意度调查统计报告</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