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黑体" w:cstheme="minorHAnsi"/>
          <w:sz w:val="32"/>
          <w:szCs w:val="32"/>
        </w:rPr>
      </w:pPr>
    </w:p>
    <w:p>
      <w:pPr>
        <w:ind w:firstLine="640"/>
        <w:jc w:val="center"/>
        <w:rPr>
          <w:rFonts w:eastAsia="黑体" w:cstheme="minorHAnsi"/>
          <w:sz w:val="32"/>
          <w:szCs w:val="32"/>
        </w:rPr>
      </w:pPr>
    </w:p>
    <w:p>
      <w:pPr>
        <w:ind w:firstLine="640"/>
        <w:rPr>
          <w:rFonts w:eastAsia="黑体" w:cstheme="minorHAnsi"/>
          <w:sz w:val="32"/>
          <w:szCs w:val="32"/>
        </w:rPr>
      </w:pPr>
    </w:p>
    <w:p>
      <w:pPr>
        <w:ind w:firstLine="640"/>
        <w:jc w:val="center"/>
        <w:rPr>
          <w:rFonts w:eastAsia="黑体" w:cstheme="minorHAnsi"/>
          <w:sz w:val="32"/>
          <w:szCs w:val="32"/>
        </w:rPr>
      </w:pPr>
    </w:p>
    <w:p>
      <w:pPr>
        <w:widowControl/>
        <w:ind w:firstLine="0" w:firstLineChars="0"/>
        <w:jc w:val="center"/>
        <w:rPr>
          <w:rFonts w:ascii="黑体" w:hAnsi="黑体" w:eastAsia="黑体" w:cs="Times New Roman"/>
          <w:color w:val="000000"/>
          <w:kern w:val="0"/>
          <w:sz w:val="44"/>
          <w:szCs w:val="44"/>
        </w:rPr>
      </w:pPr>
      <w:bookmarkStart w:id="0" w:name="_Toc19293418"/>
      <w:bookmarkStart w:id="1" w:name="_Toc19313109"/>
      <w:bookmarkStart w:id="2" w:name="_Toc48725372"/>
      <w:bookmarkStart w:id="3" w:name="_Toc49516944"/>
      <w:bookmarkStart w:id="4" w:name="_Toc48655329"/>
      <w:bookmarkStart w:id="5" w:name="_Toc19290389"/>
      <w:bookmarkStart w:id="6" w:name="_Toc49517749"/>
      <w:bookmarkStart w:id="7" w:name="_Toc19313009"/>
      <w:bookmarkStart w:id="8" w:name="_Toc49534770"/>
      <w:bookmarkStart w:id="9" w:name="_Toc19305542"/>
      <w:bookmarkStart w:id="10" w:name="_Toc49594915"/>
      <w:bookmarkStart w:id="11" w:name="_Toc49596074"/>
      <w:bookmarkStart w:id="12" w:name="_Toc48724915"/>
      <w:bookmarkStart w:id="13" w:name="_Toc49595613"/>
      <w:bookmarkStart w:id="14" w:name="_Toc49535261"/>
      <w:bookmarkStart w:id="15" w:name="_Toc49616187"/>
      <w:bookmarkStart w:id="16" w:name="_Toc48651950"/>
      <w:bookmarkStart w:id="17" w:name="_Toc49441725"/>
      <w:bookmarkStart w:id="18" w:name="_Toc19313550"/>
      <w:bookmarkStart w:id="19" w:name="_Toc48655856"/>
      <w:r>
        <w:rPr>
          <w:rFonts w:ascii="黑体" w:hAnsi="黑体" w:eastAsia="黑体" w:cs="Times New Roman"/>
          <w:color w:val="000000"/>
          <w:kern w:val="0"/>
          <w:sz w:val="44"/>
          <w:szCs w:val="44"/>
        </w:rPr>
        <w:t>2020年全国网民网络安全感满意度</w:t>
      </w: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48655857"/>
      <w:bookmarkStart w:id="21" w:name="_Toc48724916"/>
      <w:bookmarkStart w:id="22" w:name="_Toc19290390"/>
      <w:bookmarkStart w:id="23" w:name="_Toc19305543"/>
      <w:bookmarkStart w:id="24" w:name="_Toc19293419"/>
      <w:bookmarkStart w:id="25" w:name="_Toc19313551"/>
      <w:bookmarkStart w:id="26" w:name="_Toc49534771"/>
      <w:bookmarkStart w:id="27" w:name="_Toc49441726"/>
      <w:bookmarkStart w:id="28" w:name="_Toc49596075"/>
      <w:bookmarkStart w:id="29" w:name="_Toc48651951"/>
      <w:bookmarkStart w:id="30" w:name="_Toc49595614"/>
      <w:bookmarkStart w:id="31" w:name="_Toc48655330"/>
      <w:bookmarkStart w:id="32" w:name="_Toc49594916"/>
      <w:bookmarkStart w:id="33" w:name="_Toc19313010"/>
      <w:bookmarkStart w:id="34" w:name="_Toc49517750"/>
      <w:bookmarkStart w:id="35" w:name="_Toc48725373"/>
      <w:bookmarkStart w:id="36" w:name="_Toc49616188"/>
      <w:bookmarkStart w:id="37" w:name="_Toc49535262"/>
      <w:bookmarkStart w:id="38" w:name="_Toc19313110"/>
      <w:bookmarkStart w:id="39" w:name="_Toc49516945"/>
      <w:r>
        <w:rPr>
          <w:rFonts w:ascii="黑体" w:hAnsi="黑体" w:eastAsia="黑体" w:cs="Times New Roman"/>
          <w:color w:val="000000"/>
          <w:kern w:val="0"/>
          <w:sz w:val="44"/>
          <w:szCs w:val="44"/>
        </w:rPr>
        <w:t>统计报告</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ind w:firstLine="0" w:firstLineChars="0"/>
        <w:jc w:val="center"/>
        <w:rPr>
          <w:rFonts w:eastAsia="黑体" w:cstheme="minorHAnsi"/>
          <w:sz w:val="36"/>
          <w:szCs w:val="36"/>
        </w:rPr>
      </w:pPr>
      <w:r>
        <w:rPr>
          <w:rFonts w:eastAsia="黑体" w:cstheme="minorHAnsi"/>
          <w:sz w:val="36"/>
          <w:szCs w:val="36"/>
        </w:rPr>
        <w:t>（</w:t>
      </w:r>
      <w:r>
        <w:rPr>
          <w:rFonts w:hint="eastAsia" w:eastAsia="黑体" w:cstheme="minorHAnsi"/>
          <w:sz w:val="36"/>
          <w:szCs w:val="36"/>
        </w:rPr>
        <w:t>从业人员</w:t>
      </w:r>
      <w:r>
        <w:rPr>
          <w:rFonts w:eastAsia="黑体" w:cstheme="minorHAnsi"/>
          <w:sz w:val="36"/>
          <w:szCs w:val="36"/>
        </w:rPr>
        <w:t>版）</w:t>
      </w:r>
    </w:p>
    <w:p>
      <w:pPr>
        <w:ind w:firstLine="720"/>
        <w:jc w:val="center"/>
        <w:rPr>
          <w:rFonts w:eastAsia="黑体" w:cstheme="minorHAnsi"/>
          <w:sz w:val="36"/>
          <w:szCs w:val="36"/>
        </w:rPr>
      </w:pPr>
    </w:p>
    <w:p>
      <w:pPr>
        <w:widowControl/>
        <w:ind w:firstLine="0" w:firstLineChars="0"/>
        <w:jc w:val="center"/>
        <w:rPr>
          <w:rFonts w:ascii="黑体" w:hAnsi="黑体" w:eastAsia="黑体" w:cs="Times New Roman"/>
          <w:color w:val="000000"/>
          <w:kern w:val="0"/>
          <w:sz w:val="52"/>
          <w:szCs w:val="52"/>
        </w:rPr>
      </w:pPr>
    </w:p>
    <w:p>
      <w:pPr>
        <w:widowControl/>
        <w:ind w:firstLine="0" w:firstLineChars="0"/>
        <w:jc w:val="center"/>
        <w:rPr>
          <w:rFonts w:eastAsia="黑体" w:cstheme="minorHAnsi"/>
          <w:sz w:val="32"/>
          <w:szCs w:val="32"/>
        </w:rPr>
      </w:pPr>
      <w:r>
        <w:rPr>
          <w:rFonts w:hint="eastAsia" w:ascii="黑体" w:hAnsi="黑体" w:eastAsia="黑体" w:cs="Times New Roman"/>
          <w:color w:val="000000"/>
          <w:kern w:val="0"/>
          <w:sz w:val="52"/>
          <w:szCs w:val="52"/>
        </w:rPr>
        <w:t>郑州卷</w:t>
      </w: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河南省公安厅网络安全保卫总队</w:t>
            </w:r>
          </w:p>
          <w:p>
            <w:pPr>
              <w:ind w:firstLine="0" w:firstLineChars="0"/>
              <w:rPr>
                <w:rFonts w:eastAsia="黑体" w:cstheme="minorHAnsi"/>
                <w:bCs/>
                <w:sz w:val="28"/>
                <w:szCs w:val="28"/>
              </w:rPr>
            </w:pPr>
            <w:r>
              <w:rPr>
                <w:rFonts w:hint="eastAsia" w:eastAsia="黑体" w:cstheme="minorHAnsi"/>
                <w:bCs/>
                <w:sz w:val="28"/>
                <w:szCs w:val="28"/>
              </w:rPr>
              <w:t>郑州市公安局公共信息网络安全监察支队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郑州市网络安全协会等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0"/>
        <w:jc w:val="center"/>
        <w:rPr>
          <w:rFonts w:hint="eastAsia" w:ascii="黑体" w:hAnsi="黑体" w:eastAsia="黑体" w:cs="黑体"/>
          <w:bCs/>
          <w:sz w:val="28"/>
          <w:szCs w:val="28"/>
        </w:rPr>
      </w:pPr>
      <w:r>
        <w:rPr>
          <w:rFonts w:hint="eastAsia" w:ascii="黑体" w:hAnsi="黑体" w:eastAsia="黑体" w:cs="黑体"/>
          <w:bCs/>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40"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7"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40"/>
    </w:p>
    <w:p>
      <w:pPr>
        <w:pStyle w:val="14"/>
        <w:spacing w:line="420" w:lineRule="exact"/>
        <w:rPr>
          <w:rFonts w:eastAsia="黑体" w:asciiTheme="minorHAnsi" w:hAnsiTheme="minorHAnsi" w:cstheme="minorHAnsi"/>
        </w:rPr>
      </w:pPr>
      <w:bookmarkStart w:id="41" w:name="_Toc19203632"/>
      <w:r>
        <w:rPr>
          <w:rFonts w:eastAsia="黑体" w:asciiTheme="minorHAnsi" w:hAnsiTheme="minorHAnsi" w:cstheme="minorHAnsi"/>
        </w:rPr>
        <w:t>网络安全共建网：www.iscn.org.cn“网安联”公众号：</w:t>
      </w:r>
      <w:bookmarkEnd w:id="41"/>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bookmarkStart w:id="369" w:name="_GoBack"/>
      <w:bookmarkEnd w:id="369"/>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rPr>
          <w:rFonts w:cstheme="minorHAnsi"/>
        </w:rPr>
      </w:pPr>
    </w:p>
    <w:p>
      <w:pPr>
        <w:ind w:firstLine="482"/>
        <w:rPr>
          <w:rFonts w:cstheme="minorHAnsi"/>
          <w:b/>
          <w:bCs/>
        </w:rPr>
        <w:sectPr>
          <w:footerReference r:id="rId9" w:type="default"/>
          <w:type w:val="continuous"/>
          <w:pgSz w:w="11906" w:h="16838"/>
          <w:pgMar w:top="1440" w:right="1797" w:bottom="1440" w:left="1797" w:header="709" w:footer="709" w:gutter="0"/>
          <w:pgNumType w:start="1"/>
          <w:cols w:space="708" w:num="1"/>
          <w:docGrid w:linePitch="360" w:charSpace="0"/>
        </w:sectPr>
      </w:pPr>
    </w:p>
    <w:sdt>
      <w:sdtPr>
        <w:rPr>
          <w:rFonts w:ascii="宋体" w:hAnsi="宋体" w:eastAsia="宋体"/>
          <w:sz w:val="28"/>
          <w:szCs w:val="28"/>
        </w:rPr>
        <w:id w:val="147460654"/>
        <w:docPartObj>
          <w:docPartGallery w:val="Table of Contents"/>
          <w:docPartUnique/>
        </w:docPartObj>
      </w:sdtPr>
      <w:sdtEndPr>
        <w:rPr>
          <w:rFonts w:ascii="宋体" w:hAnsi="宋体" w:eastAsia="宋体"/>
          <w:b/>
          <w:sz w:val="28"/>
          <w:szCs w:val="28"/>
        </w:rPr>
      </w:sdtEndPr>
      <w:sdtContent>
        <w:p>
          <w:pPr>
            <w:spacing w:line="240" w:lineRule="auto"/>
            <w:ind w:firstLine="560"/>
            <w:jc w:val="center"/>
            <w:rPr>
              <w:sz w:val="28"/>
              <w:szCs w:val="28"/>
            </w:rPr>
          </w:pPr>
          <w:bookmarkStart w:id="42" w:name="_Toc19207398"/>
          <w:r>
            <w:rPr>
              <w:rFonts w:ascii="宋体" w:hAnsi="宋体" w:eastAsia="宋体"/>
              <w:sz w:val="28"/>
              <w:szCs w:val="28"/>
            </w:rPr>
            <w:t>目录</w:t>
          </w:r>
        </w:p>
        <w:p>
          <w:pPr>
            <w:pStyle w:val="11"/>
            <w:tabs>
              <w:tab w:val="right" w:leader="hyphen" w:pos="8312"/>
            </w:tabs>
          </w:pPr>
          <w:r>
            <w:fldChar w:fldCharType="begin"/>
          </w:r>
          <w:r>
            <w:instrText xml:space="preserve">TOC \o "1-2" \h \u </w:instrText>
          </w:r>
          <w:r>
            <w:fldChar w:fldCharType="separate"/>
          </w:r>
          <w:r>
            <w:fldChar w:fldCharType="begin"/>
          </w:r>
          <w:r>
            <w:instrText xml:space="preserve"> HYPERLINK \l "_Toc7264" </w:instrText>
          </w:r>
          <w:r>
            <w:fldChar w:fldCharType="separate"/>
          </w:r>
          <w:r>
            <w:rPr>
              <w:rFonts w:hint="eastAsia"/>
              <w:bCs/>
              <w:kern w:val="44"/>
              <w:szCs w:val="44"/>
            </w:rPr>
            <w:t>一、前  言</w:t>
          </w:r>
          <w:r>
            <w:tab/>
          </w:r>
          <w:r>
            <w:fldChar w:fldCharType="begin"/>
          </w:r>
          <w:r>
            <w:instrText xml:space="preserve"> PAGEREF _Toc7264 </w:instrText>
          </w:r>
          <w:r>
            <w:fldChar w:fldCharType="separate"/>
          </w:r>
          <w:r>
            <w:t>5</w:t>
          </w:r>
          <w:r>
            <w:fldChar w:fldCharType="end"/>
          </w:r>
          <w:r>
            <w:fldChar w:fldCharType="end"/>
          </w:r>
        </w:p>
        <w:p>
          <w:pPr>
            <w:pStyle w:val="11"/>
            <w:tabs>
              <w:tab w:val="right" w:leader="hyphen" w:pos="8312"/>
            </w:tabs>
          </w:pPr>
          <w:r>
            <w:fldChar w:fldCharType="begin"/>
          </w:r>
          <w:r>
            <w:instrText xml:space="preserve"> HYPERLINK \l "_Toc23874" </w:instrText>
          </w:r>
          <w:r>
            <w:fldChar w:fldCharType="separate"/>
          </w:r>
          <w:r>
            <w:rPr>
              <w:rFonts w:hint="eastAsia"/>
            </w:rPr>
            <w:t>二、主要发现</w:t>
          </w:r>
          <w:r>
            <w:tab/>
          </w:r>
          <w:r>
            <w:fldChar w:fldCharType="begin"/>
          </w:r>
          <w:r>
            <w:instrText xml:space="preserve"> PAGEREF _Toc23874 </w:instrText>
          </w:r>
          <w:r>
            <w:fldChar w:fldCharType="separate"/>
          </w:r>
          <w:r>
            <w:t>9</w:t>
          </w:r>
          <w:r>
            <w:fldChar w:fldCharType="end"/>
          </w:r>
          <w:r>
            <w:fldChar w:fldCharType="end"/>
          </w:r>
        </w:p>
        <w:p>
          <w:pPr>
            <w:pStyle w:val="13"/>
            <w:tabs>
              <w:tab w:val="right" w:leader="hyphen" w:pos="8312"/>
            </w:tabs>
            <w:ind w:left="480"/>
          </w:pPr>
          <w:r>
            <w:fldChar w:fldCharType="begin"/>
          </w:r>
          <w:r>
            <w:instrText xml:space="preserve"> HYPERLINK \l "_Toc6573" </w:instrText>
          </w:r>
          <w:r>
            <w:fldChar w:fldCharType="separate"/>
          </w:r>
          <w:r>
            <w:rPr>
              <w:rFonts w:hint="eastAsia" w:asciiTheme="minorEastAsia" w:hAnsiTheme="minorEastAsia"/>
            </w:rPr>
            <w:t>2.1从业人员网络安全感有所提升</w:t>
          </w:r>
          <w:r>
            <w:tab/>
          </w:r>
          <w:r>
            <w:fldChar w:fldCharType="begin"/>
          </w:r>
          <w:r>
            <w:instrText xml:space="preserve"> PAGEREF _Toc6573 </w:instrText>
          </w:r>
          <w:r>
            <w:fldChar w:fldCharType="separate"/>
          </w:r>
          <w:r>
            <w:t>9</w:t>
          </w:r>
          <w:r>
            <w:fldChar w:fldCharType="end"/>
          </w:r>
          <w:r>
            <w:fldChar w:fldCharType="end"/>
          </w:r>
        </w:p>
        <w:p>
          <w:pPr>
            <w:pStyle w:val="13"/>
            <w:tabs>
              <w:tab w:val="right" w:leader="hyphen" w:pos="8312"/>
            </w:tabs>
            <w:ind w:left="480"/>
          </w:pPr>
          <w:r>
            <w:fldChar w:fldCharType="begin"/>
          </w:r>
          <w:r>
            <w:instrText xml:space="preserve"> HYPERLINK \l "_Toc27435" </w:instrText>
          </w:r>
          <w:r>
            <w:fldChar w:fldCharType="separate"/>
          </w:r>
          <w:r>
            <w:rPr>
              <w:rFonts w:hint="eastAsia" w:asciiTheme="minorEastAsia" w:hAnsiTheme="minorEastAsia"/>
            </w:rPr>
            <w:t>2.2网络安全态势严峻，供应链安全风险受到关注</w:t>
          </w:r>
          <w:r>
            <w:tab/>
          </w:r>
          <w:r>
            <w:fldChar w:fldCharType="begin"/>
          </w:r>
          <w:r>
            <w:instrText xml:space="preserve"> PAGEREF _Toc27435 </w:instrText>
          </w:r>
          <w:r>
            <w:fldChar w:fldCharType="separate"/>
          </w:r>
          <w:r>
            <w:t>9</w:t>
          </w:r>
          <w:r>
            <w:fldChar w:fldCharType="end"/>
          </w:r>
          <w:r>
            <w:fldChar w:fldCharType="end"/>
          </w:r>
        </w:p>
        <w:p>
          <w:pPr>
            <w:pStyle w:val="13"/>
            <w:tabs>
              <w:tab w:val="right" w:leader="hyphen" w:pos="8312"/>
            </w:tabs>
            <w:ind w:left="480"/>
          </w:pPr>
          <w:r>
            <w:fldChar w:fldCharType="begin"/>
          </w:r>
          <w:r>
            <w:instrText xml:space="preserve"> HYPERLINK \l "_Toc5796" </w:instrText>
          </w:r>
          <w:r>
            <w:fldChar w:fldCharType="separate"/>
          </w:r>
          <w:r>
            <w:rPr>
              <w:rFonts w:hint="eastAsia" w:asciiTheme="minorEastAsia" w:hAnsiTheme="minorEastAsia"/>
            </w:rPr>
            <w:t>2.3信息泄露、网络诈骗等问题仍比较突出，打击网络黑灰产业成为关注热点</w:t>
          </w:r>
          <w:r>
            <w:tab/>
          </w:r>
          <w:r>
            <w:fldChar w:fldCharType="begin"/>
          </w:r>
          <w:r>
            <w:instrText xml:space="preserve"> PAGEREF _Toc5796 </w:instrText>
          </w:r>
          <w:r>
            <w:fldChar w:fldCharType="separate"/>
          </w:r>
          <w:r>
            <w:t>9</w:t>
          </w:r>
          <w:r>
            <w:fldChar w:fldCharType="end"/>
          </w:r>
          <w:r>
            <w:fldChar w:fldCharType="end"/>
          </w:r>
        </w:p>
        <w:p>
          <w:pPr>
            <w:pStyle w:val="13"/>
            <w:tabs>
              <w:tab w:val="right" w:leader="hyphen" w:pos="8312"/>
            </w:tabs>
            <w:ind w:left="480"/>
          </w:pPr>
          <w:r>
            <w:fldChar w:fldCharType="begin"/>
          </w:r>
          <w:r>
            <w:instrText xml:space="preserve"> HYPERLINK \l "_Toc22483" </w:instrText>
          </w:r>
          <w:r>
            <w:fldChar w:fldCharType="separate"/>
          </w:r>
          <w:r>
            <w:rPr>
              <w:rFonts w:hint="eastAsia" w:asciiTheme="minorEastAsia" w:hAnsiTheme="minorEastAsia"/>
            </w:rPr>
            <w:t>2.4网络安全依法治理不断完善，加强法制建设成为主要诉求</w:t>
          </w:r>
          <w:r>
            <w:tab/>
          </w:r>
          <w:r>
            <w:fldChar w:fldCharType="begin"/>
          </w:r>
          <w:r>
            <w:instrText xml:space="preserve"> PAGEREF _Toc22483 </w:instrText>
          </w:r>
          <w:r>
            <w:fldChar w:fldCharType="separate"/>
          </w:r>
          <w:r>
            <w:t>10</w:t>
          </w:r>
          <w:r>
            <w:fldChar w:fldCharType="end"/>
          </w:r>
          <w:r>
            <w:fldChar w:fldCharType="end"/>
          </w:r>
        </w:p>
        <w:p>
          <w:pPr>
            <w:pStyle w:val="13"/>
            <w:tabs>
              <w:tab w:val="right" w:leader="hyphen" w:pos="8312"/>
            </w:tabs>
            <w:ind w:left="480"/>
          </w:pPr>
          <w:r>
            <w:fldChar w:fldCharType="begin"/>
          </w:r>
          <w:r>
            <w:instrText xml:space="preserve"> HYPERLINK \l "_Toc7976" </w:instrText>
          </w:r>
          <w:r>
            <w:fldChar w:fldCharType="separate"/>
          </w:r>
          <w:r>
            <w:rPr>
              <w:rFonts w:hint="eastAsia" w:asciiTheme="minorEastAsia" w:hAnsiTheme="minorEastAsia"/>
            </w:rPr>
            <w:t>2.5网络安全监管取得成效，网络安全等级保护制度进一步落实</w:t>
          </w:r>
          <w:r>
            <w:tab/>
          </w:r>
          <w:r>
            <w:fldChar w:fldCharType="begin"/>
          </w:r>
          <w:r>
            <w:instrText xml:space="preserve"> PAGEREF _Toc7976 </w:instrText>
          </w:r>
          <w:r>
            <w:fldChar w:fldCharType="separate"/>
          </w:r>
          <w:r>
            <w:t>10</w:t>
          </w:r>
          <w:r>
            <w:fldChar w:fldCharType="end"/>
          </w:r>
          <w:r>
            <w:fldChar w:fldCharType="end"/>
          </w:r>
        </w:p>
        <w:p>
          <w:pPr>
            <w:pStyle w:val="13"/>
            <w:tabs>
              <w:tab w:val="right" w:leader="hyphen" w:pos="8312"/>
            </w:tabs>
            <w:ind w:left="480"/>
          </w:pPr>
          <w:r>
            <w:fldChar w:fldCharType="begin"/>
          </w:r>
          <w:r>
            <w:instrText xml:space="preserve"> HYPERLINK \l "_Toc26478" </w:instrText>
          </w:r>
          <w:r>
            <w:fldChar w:fldCharType="separate"/>
          </w:r>
          <w:r>
            <w:rPr>
              <w:rFonts w:hint="eastAsia" w:asciiTheme="minorEastAsia" w:hAnsiTheme="minorEastAsia"/>
            </w:rPr>
            <w:t>2.6企业网络安全合规遵循有所加强，网络安全管理有所改善</w:t>
          </w:r>
          <w:r>
            <w:tab/>
          </w:r>
          <w:r>
            <w:fldChar w:fldCharType="begin"/>
          </w:r>
          <w:r>
            <w:instrText xml:space="preserve"> PAGEREF _Toc26478 </w:instrText>
          </w:r>
          <w:r>
            <w:fldChar w:fldCharType="separate"/>
          </w:r>
          <w:r>
            <w:t>11</w:t>
          </w:r>
          <w:r>
            <w:fldChar w:fldCharType="end"/>
          </w:r>
          <w:r>
            <w:fldChar w:fldCharType="end"/>
          </w:r>
        </w:p>
        <w:p>
          <w:pPr>
            <w:pStyle w:val="13"/>
            <w:tabs>
              <w:tab w:val="right" w:leader="hyphen" w:pos="8312"/>
            </w:tabs>
            <w:ind w:left="480"/>
          </w:pPr>
          <w:r>
            <w:fldChar w:fldCharType="begin"/>
          </w:r>
          <w:r>
            <w:instrText xml:space="preserve"> HYPERLINK \l "_Toc14073" </w:instrText>
          </w:r>
          <w:r>
            <w:fldChar w:fldCharType="separate"/>
          </w:r>
          <w:r>
            <w:rPr>
              <w:rFonts w:hint="eastAsia" w:asciiTheme="minorEastAsia" w:hAnsiTheme="minorEastAsia"/>
            </w:rPr>
            <w:t>2.7新技术应用发展迅速，安全风险受到关注</w:t>
          </w:r>
          <w:r>
            <w:tab/>
          </w:r>
          <w:r>
            <w:fldChar w:fldCharType="begin"/>
          </w:r>
          <w:r>
            <w:instrText xml:space="preserve"> PAGEREF _Toc14073 </w:instrText>
          </w:r>
          <w:r>
            <w:fldChar w:fldCharType="separate"/>
          </w:r>
          <w:r>
            <w:t>12</w:t>
          </w:r>
          <w:r>
            <w:fldChar w:fldCharType="end"/>
          </w:r>
          <w:r>
            <w:fldChar w:fldCharType="end"/>
          </w:r>
        </w:p>
        <w:p>
          <w:pPr>
            <w:pStyle w:val="13"/>
            <w:tabs>
              <w:tab w:val="right" w:leader="hyphen" w:pos="8312"/>
            </w:tabs>
            <w:ind w:left="480"/>
          </w:pPr>
          <w:r>
            <w:fldChar w:fldCharType="begin"/>
          </w:r>
          <w:r>
            <w:instrText xml:space="preserve"> HYPERLINK \l "_Toc1463" </w:instrText>
          </w:r>
          <w:r>
            <w:fldChar w:fldCharType="separate"/>
          </w:r>
          <w:r>
            <w:rPr>
              <w:rFonts w:hint="eastAsia" w:asciiTheme="minorEastAsia" w:hAnsiTheme="minorEastAsia"/>
            </w:rPr>
            <w:t>2.8网络安全行业进入快速发展阶段，技术研发和人才培养是关键</w:t>
          </w:r>
          <w:r>
            <w:tab/>
          </w:r>
          <w:r>
            <w:fldChar w:fldCharType="begin"/>
          </w:r>
          <w:r>
            <w:instrText xml:space="preserve"> PAGEREF _Toc1463 </w:instrText>
          </w:r>
          <w:r>
            <w:fldChar w:fldCharType="separate"/>
          </w:r>
          <w:r>
            <w:t>12</w:t>
          </w:r>
          <w:r>
            <w:fldChar w:fldCharType="end"/>
          </w:r>
          <w:r>
            <w:fldChar w:fldCharType="end"/>
          </w:r>
        </w:p>
        <w:p>
          <w:pPr>
            <w:pStyle w:val="11"/>
            <w:tabs>
              <w:tab w:val="right" w:leader="hyphen" w:pos="8312"/>
            </w:tabs>
          </w:pPr>
          <w:r>
            <w:fldChar w:fldCharType="begin"/>
          </w:r>
          <w:r>
            <w:instrText xml:space="preserve"> HYPERLINK \l "_Toc32270" </w:instrText>
          </w:r>
          <w:r>
            <w:fldChar w:fldCharType="separate"/>
          </w:r>
          <w:r>
            <w:rPr>
              <w:rFonts w:hint="eastAsia"/>
            </w:rPr>
            <w:t>三、网民基本情况</w:t>
          </w:r>
          <w:r>
            <w:tab/>
          </w:r>
          <w:r>
            <w:fldChar w:fldCharType="begin"/>
          </w:r>
          <w:r>
            <w:instrText xml:space="preserve"> PAGEREF _Toc32270 </w:instrText>
          </w:r>
          <w:r>
            <w:fldChar w:fldCharType="separate"/>
          </w:r>
          <w:r>
            <w:t>14</w:t>
          </w:r>
          <w:r>
            <w:fldChar w:fldCharType="end"/>
          </w:r>
          <w:r>
            <w:fldChar w:fldCharType="end"/>
          </w:r>
        </w:p>
        <w:p>
          <w:pPr>
            <w:pStyle w:val="13"/>
            <w:tabs>
              <w:tab w:val="right" w:leader="hyphen" w:pos="8312"/>
            </w:tabs>
            <w:ind w:left="480"/>
          </w:pPr>
          <w:r>
            <w:fldChar w:fldCharType="begin"/>
          </w:r>
          <w:r>
            <w:instrText xml:space="preserve"> HYPERLINK \l "_Toc20803" </w:instrText>
          </w:r>
          <w:r>
            <w:fldChar w:fldCharType="separate"/>
          </w:r>
          <w:r>
            <w:rPr>
              <w:rFonts w:hint="eastAsia"/>
            </w:rPr>
            <w:t>3.1性别分布</w:t>
          </w:r>
          <w:r>
            <w:tab/>
          </w:r>
          <w:r>
            <w:fldChar w:fldCharType="begin"/>
          </w:r>
          <w:r>
            <w:instrText xml:space="preserve"> PAGEREF _Toc20803 </w:instrText>
          </w:r>
          <w:r>
            <w:fldChar w:fldCharType="separate"/>
          </w:r>
          <w:r>
            <w:t>14</w:t>
          </w:r>
          <w:r>
            <w:fldChar w:fldCharType="end"/>
          </w:r>
          <w:r>
            <w:fldChar w:fldCharType="end"/>
          </w:r>
        </w:p>
        <w:p>
          <w:pPr>
            <w:pStyle w:val="13"/>
            <w:tabs>
              <w:tab w:val="right" w:leader="hyphen" w:pos="8312"/>
            </w:tabs>
            <w:ind w:left="480"/>
          </w:pPr>
          <w:r>
            <w:fldChar w:fldCharType="begin"/>
          </w:r>
          <w:r>
            <w:instrText xml:space="preserve"> HYPERLINK \l "_Toc9508" </w:instrText>
          </w:r>
          <w:r>
            <w:fldChar w:fldCharType="separate"/>
          </w:r>
          <w:r>
            <w:rPr>
              <w:rFonts w:hint="eastAsia"/>
            </w:rPr>
            <w:t>3.2年龄分布</w:t>
          </w:r>
          <w:r>
            <w:tab/>
          </w:r>
          <w:r>
            <w:fldChar w:fldCharType="begin"/>
          </w:r>
          <w:r>
            <w:instrText xml:space="preserve"> PAGEREF _Toc9508 </w:instrText>
          </w:r>
          <w:r>
            <w:fldChar w:fldCharType="separate"/>
          </w:r>
          <w:r>
            <w:t>14</w:t>
          </w:r>
          <w:r>
            <w:fldChar w:fldCharType="end"/>
          </w:r>
          <w:r>
            <w:fldChar w:fldCharType="end"/>
          </w:r>
        </w:p>
        <w:p>
          <w:pPr>
            <w:pStyle w:val="13"/>
            <w:tabs>
              <w:tab w:val="right" w:leader="hyphen" w:pos="8312"/>
            </w:tabs>
            <w:ind w:left="480"/>
          </w:pPr>
          <w:r>
            <w:fldChar w:fldCharType="begin"/>
          </w:r>
          <w:r>
            <w:instrText xml:space="preserve"> HYPERLINK \l "_Toc31346" </w:instrText>
          </w:r>
          <w:r>
            <w:fldChar w:fldCharType="separate"/>
          </w:r>
          <w:r>
            <w:rPr>
              <w:rFonts w:hint="eastAsia"/>
            </w:rPr>
            <w:t>3.3从业时间</w:t>
          </w:r>
          <w:r>
            <w:tab/>
          </w:r>
          <w:r>
            <w:fldChar w:fldCharType="begin"/>
          </w:r>
          <w:r>
            <w:instrText xml:space="preserve"> PAGEREF _Toc31346 </w:instrText>
          </w:r>
          <w:r>
            <w:fldChar w:fldCharType="separate"/>
          </w:r>
          <w:r>
            <w:t>15</w:t>
          </w:r>
          <w:r>
            <w:fldChar w:fldCharType="end"/>
          </w:r>
          <w:r>
            <w:fldChar w:fldCharType="end"/>
          </w:r>
        </w:p>
        <w:p>
          <w:pPr>
            <w:pStyle w:val="13"/>
            <w:tabs>
              <w:tab w:val="right" w:leader="hyphen" w:pos="8312"/>
            </w:tabs>
            <w:ind w:left="480"/>
          </w:pPr>
          <w:r>
            <w:fldChar w:fldCharType="begin"/>
          </w:r>
          <w:r>
            <w:instrText xml:space="preserve"> HYPERLINK \l "_Toc7014" </w:instrText>
          </w:r>
          <w:r>
            <w:fldChar w:fldCharType="separate"/>
          </w:r>
          <w:r>
            <w:rPr>
              <w:rFonts w:hint="eastAsia"/>
            </w:rPr>
            <w:t>3.4学历分布</w:t>
          </w:r>
          <w:r>
            <w:tab/>
          </w:r>
          <w:r>
            <w:fldChar w:fldCharType="begin"/>
          </w:r>
          <w:r>
            <w:instrText xml:space="preserve"> PAGEREF _Toc7014 </w:instrText>
          </w:r>
          <w:r>
            <w:fldChar w:fldCharType="separate"/>
          </w:r>
          <w:r>
            <w:t>16</w:t>
          </w:r>
          <w:r>
            <w:fldChar w:fldCharType="end"/>
          </w:r>
          <w:r>
            <w:fldChar w:fldCharType="end"/>
          </w:r>
        </w:p>
        <w:p>
          <w:pPr>
            <w:pStyle w:val="13"/>
            <w:tabs>
              <w:tab w:val="right" w:leader="hyphen" w:pos="8312"/>
            </w:tabs>
            <w:ind w:left="480"/>
          </w:pPr>
          <w:r>
            <w:fldChar w:fldCharType="begin"/>
          </w:r>
          <w:r>
            <w:instrText xml:space="preserve"> HYPERLINK \l "_Toc23266" </w:instrText>
          </w:r>
          <w:r>
            <w:fldChar w:fldCharType="separate"/>
          </w:r>
          <w:r>
            <w:rPr>
              <w:rFonts w:hint="eastAsia"/>
            </w:rPr>
            <w:t>3.5工作单位</w:t>
          </w:r>
          <w:r>
            <w:tab/>
          </w:r>
          <w:r>
            <w:fldChar w:fldCharType="begin"/>
          </w:r>
          <w:r>
            <w:instrText xml:space="preserve"> PAGEREF _Toc23266 </w:instrText>
          </w:r>
          <w:r>
            <w:fldChar w:fldCharType="separate"/>
          </w:r>
          <w:r>
            <w:t>16</w:t>
          </w:r>
          <w:r>
            <w:fldChar w:fldCharType="end"/>
          </w:r>
          <w:r>
            <w:fldChar w:fldCharType="end"/>
          </w:r>
        </w:p>
        <w:p>
          <w:pPr>
            <w:pStyle w:val="11"/>
            <w:tabs>
              <w:tab w:val="right" w:leader="hyphen" w:pos="8312"/>
            </w:tabs>
          </w:pPr>
          <w:r>
            <w:fldChar w:fldCharType="begin"/>
          </w:r>
          <w:r>
            <w:instrText xml:space="preserve"> HYPERLINK \l "_Toc26255" </w:instrText>
          </w:r>
          <w:r>
            <w:fldChar w:fldCharType="separate"/>
          </w:r>
          <w:r>
            <w:rPr>
              <w:rFonts w:hint="eastAsia"/>
            </w:rPr>
            <w:t>四、网络安全共性问题</w:t>
          </w:r>
          <w:r>
            <w:tab/>
          </w:r>
          <w:r>
            <w:fldChar w:fldCharType="begin"/>
          </w:r>
          <w:r>
            <w:instrText xml:space="preserve"> PAGEREF _Toc26255 </w:instrText>
          </w:r>
          <w:r>
            <w:fldChar w:fldCharType="separate"/>
          </w:r>
          <w:r>
            <w:t>17</w:t>
          </w:r>
          <w:r>
            <w:fldChar w:fldCharType="end"/>
          </w:r>
          <w:r>
            <w:fldChar w:fldCharType="end"/>
          </w:r>
        </w:p>
        <w:p>
          <w:pPr>
            <w:pStyle w:val="13"/>
            <w:tabs>
              <w:tab w:val="right" w:leader="hyphen" w:pos="8312"/>
            </w:tabs>
            <w:ind w:left="480"/>
          </w:pPr>
          <w:r>
            <w:fldChar w:fldCharType="begin"/>
          </w:r>
          <w:r>
            <w:instrText xml:space="preserve"> HYPERLINK \l "_Toc4504" </w:instrText>
          </w:r>
          <w:r>
            <w:fldChar w:fldCharType="separate"/>
          </w:r>
          <w:r>
            <w:rPr>
              <w:rFonts w:hint="eastAsia"/>
            </w:rPr>
            <w:t>4.1安全感总体感受</w:t>
          </w:r>
          <w:r>
            <w:tab/>
          </w:r>
          <w:r>
            <w:fldChar w:fldCharType="begin"/>
          </w:r>
          <w:r>
            <w:instrText xml:space="preserve"> PAGEREF _Toc4504 </w:instrText>
          </w:r>
          <w:r>
            <w:fldChar w:fldCharType="separate"/>
          </w:r>
          <w:r>
            <w:t>17</w:t>
          </w:r>
          <w:r>
            <w:fldChar w:fldCharType="end"/>
          </w:r>
          <w:r>
            <w:fldChar w:fldCharType="end"/>
          </w:r>
        </w:p>
        <w:p>
          <w:pPr>
            <w:pStyle w:val="13"/>
            <w:tabs>
              <w:tab w:val="right" w:leader="hyphen" w:pos="8312"/>
            </w:tabs>
            <w:ind w:left="480"/>
          </w:pPr>
          <w:r>
            <w:fldChar w:fldCharType="begin"/>
          </w:r>
          <w:r>
            <w:instrText xml:space="preserve"> HYPERLINK \l "_Toc24831" </w:instrText>
          </w:r>
          <w:r>
            <w:fldChar w:fldCharType="separate"/>
          </w:r>
          <w:r>
            <w:rPr>
              <w:rFonts w:hint="eastAsia"/>
            </w:rPr>
            <w:t>4.2网络安全态势感受</w:t>
          </w:r>
          <w:r>
            <w:tab/>
          </w:r>
          <w:r>
            <w:fldChar w:fldCharType="begin"/>
          </w:r>
          <w:r>
            <w:instrText xml:space="preserve"> PAGEREF _Toc24831 </w:instrText>
          </w:r>
          <w:r>
            <w:fldChar w:fldCharType="separate"/>
          </w:r>
          <w:r>
            <w:t>19</w:t>
          </w:r>
          <w:r>
            <w:fldChar w:fldCharType="end"/>
          </w:r>
          <w:r>
            <w:fldChar w:fldCharType="end"/>
          </w:r>
        </w:p>
        <w:p>
          <w:pPr>
            <w:pStyle w:val="13"/>
            <w:tabs>
              <w:tab w:val="right" w:leader="hyphen" w:pos="8312"/>
            </w:tabs>
            <w:ind w:left="480"/>
          </w:pPr>
          <w:r>
            <w:fldChar w:fldCharType="begin"/>
          </w:r>
          <w:r>
            <w:instrText xml:space="preserve"> HYPERLINK \l "_Toc4401" </w:instrText>
          </w:r>
          <w:r>
            <w:fldChar w:fldCharType="separate"/>
          </w:r>
          <w:r>
            <w:rPr>
              <w:rFonts w:hint="eastAsia"/>
            </w:rPr>
            <w:t>4.3打击网络黑灰产业</w:t>
          </w:r>
          <w:r>
            <w:tab/>
          </w:r>
          <w:r>
            <w:fldChar w:fldCharType="begin"/>
          </w:r>
          <w:r>
            <w:instrText xml:space="preserve"> PAGEREF _Toc4401 </w:instrText>
          </w:r>
          <w:r>
            <w:fldChar w:fldCharType="separate"/>
          </w:r>
          <w:r>
            <w:t>21</w:t>
          </w:r>
          <w:r>
            <w:fldChar w:fldCharType="end"/>
          </w:r>
          <w:r>
            <w:fldChar w:fldCharType="end"/>
          </w:r>
        </w:p>
        <w:p>
          <w:pPr>
            <w:pStyle w:val="13"/>
            <w:tabs>
              <w:tab w:val="right" w:leader="hyphen" w:pos="8312"/>
            </w:tabs>
            <w:ind w:left="480"/>
          </w:pPr>
          <w:r>
            <w:fldChar w:fldCharType="begin"/>
          </w:r>
          <w:r>
            <w:instrText xml:space="preserve"> HYPERLINK \l "_Toc13721" </w:instrText>
          </w:r>
          <w:r>
            <w:fldChar w:fldCharType="separate"/>
          </w:r>
          <w:r>
            <w:rPr>
              <w:rFonts w:hint="eastAsia"/>
            </w:rPr>
            <w:t>4.4网络安全的治理</w:t>
          </w:r>
          <w:r>
            <w:tab/>
          </w:r>
          <w:r>
            <w:fldChar w:fldCharType="begin"/>
          </w:r>
          <w:r>
            <w:instrText xml:space="preserve"> PAGEREF _Toc13721 </w:instrText>
          </w:r>
          <w:r>
            <w:fldChar w:fldCharType="separate"/>
          </w:r>
          <w:r>
            <w:t>24</w:t>
          </w:r>
          <w:r>
            <w:fldChar w:fldCharType="end"/>
          </w:r>
          <w:r>
            <w:fldChar w:fldCharType="end"/>
          </w:r>
        </w:p>
        <w:p>
          <w:pPr>
            <w:pStyle w:val="11"/>
            <w:tabs>
              <w:tab w:val="right" w:leader="hyphen" w:pos="8312"/>
            </w:tabs>
          </w:pPr>
          <w:r>
            <w:fldChar w:fldCharType="begin"/>
          </w:r>
          <w:r>
            <w:instrText xml:space="preserve"> HYPERLINK \l "_Toc14552" </w:instrText>
          </w:r>
          <w:r>
            <w:fldChar w:fldCharType="separate"/>
          </w:r>
          <w:r>
            <w:rPr>
              <w:rFonts w:hint="eastAsia"/>
            </w:rPr>
            <w:t>五、专题分析</w:t>
          </w:r>
          <w:r>
            <w:tab/>
          </w:r>
          <w:r>
            <w:fldChar w:fldCharType="begin"/>
          </w:r>
          <w:r>
            <w:instrText xml:space="preserve"> PAGEREF _Toc14552 </w:instrText>
          </w:r>
          <w:r>
            <w:fldChar w:fldCharType="separate"/>
          </w:r>
          <w:r>
            <w:t>29</w:t>
          </w:r>
          <w:r>
            <w:fldChar w:fldCharType="end"/>
          </w:r>
          <w:r>
            <w:fldChar w:fldCharType="end"/>
          </w:r>
        </w:p>
        <w:p>
          <w:pPr>
            <w:pStyle w:val="13"/>
            <w:tabs>
              <w:tab w:val="right" w:leader="hyphen" w:pos="8312"/>
            </w:tabs>
            <w:ind w:left="480"/>
          </w:pPr>
          <w:r>
            <w:fldChar w:fldCharType="begin"/>
          </w:r>
          <w:r>
            <w:instrText xml:space="preserve"> HYPERLINK \l "_Toc28513" </w:instrText>
          </w:r>
          <w:r>
            <w:fldChar w:fldCharType="separate"/>
          </w:r>
          <w:r>
            <w:rPr>
              <w:rFonts w:hint="eastAsia"/>
            </w:rPr>
            <w:t>5.1、等级保护实施与企业合规专题</w:t>
          </w:r>
          <w:r>
            <w:tab/>
          </w:r>
          <w:r>
            <w:fldChar w:fldCharType="begin"/>
          </w:r>
          <w:r>
            <w:instrText xml:space="preserve"> PAGEREF _Toc28513 </w:instrText>
          </w:r>
          <w:r>
            <w:fldChar w:fldCharType="separate"/>
          </w:r>
          <w:r>
            <w:t>29</w:t>
          </w:r>
          <w:r>
            <w:fldChar w:fldCharType="end"/>
          </w:r>
          <w:r>
            <w:fldChar w:fldCharType="end"/>
          </w:r>
        </w:p>
        <w:p>
          <w:pPr>
            <w:pStyle w:val="13"/>
            <w:tabs>
              <w:tab w:val="right" w:leader="hyphen" w:pos="8312"/>
            </w:tabs>
            <w:ind w:left="480"/>
          </w:pPr>
          <w:r>
            <w:fldChar w:fldCharType="begin"/>
          </w:r>
          <w:r>
            <w:instrText xml:space="preserve"> HYPERLINK \l "_Toc5604" </w:instrText>
          </w:r>
          <w:r>
            <w:fldChar w:fldCharType="separate"/>
          </w:r>
          <w:r>
            <w:t>5.2、行业发展与生态建设专题</w:t>
          </w:r>
          <w:r>
            <w:tab/>
          </w:r>
          <w:r>
            <w:fldChar w:fldCharType="begin"/>
          </w:r>
          <w:r>
            <w:instrText xml:space="preserve"> PAGEREF _Toc5604 </w:instrText>
          </w:r>
          <w:r>
            <w:fldChar w:fldCharType="separate"/>
          </w:r>
          <w:r>
            <w:t>51</w:t>
          </w:r>
          <w:r>
            <w:fldChar w:fldCharType="end"/>
          </w:r>
          <w:r>
            <w:fldChar w:fldCharType="end"/>
          </w:r>
        </w:p>
        <w:p>
          <w:pPr>
            <w:pStyle w:val="13"/>
            <w:tabs>
              <w:tab w:val="right" w:leader="hyphen" w:pos="8312"/>
            </w:tabs>
            <w:ind w:left="480"/>
          </w:pPr>
          <w:r>
            <w:fldChar w:fldCharType="begin"/>
          </w:r>
          <w:r>
            <w:instrText xml:space="preserve"> HYPERLINK \l "_Toc25393" </w:instrText>
          </w:r>
          <w:r>
            <w:fldChar w:fldCharType="separate"/>
          </w:r>
          <w:r>
            <w:t>5.3、新技术应用与网络安全专题</w:t>
          </w:r>
          <w:r>
            <w:tab/>
          </w:r>
          <w:r>
            <w:fldChar w:fldCharType="begin"/>
          </w:r>
          <w:r>
            <w:instrText xml:space="preserve"> PAGEREF _Toc25393 </w:instrText>
          </w:r>
          <w:r>
            <w:fldChar w:fldCharType="separate"/>
          </w:r>
          <w:r>
            <w:t>61</w:t>
          </w:r>
          <w:r>
            <w:fldChar w:fldCharType="end"/>
          </w:r>
          <w:r>
            <w:fldChar w:fldCharType="end"/>
          </w:r>
        </w:p>
        <w:p>
          <w:pPr>
            <w:pStyle w:val="13"/>
            <w:tabs>
              <w:tab w:val="right" w:leader="hyphen" w:pos="8312"/>
            </w:tabs>
            <w:ind w:left="480"/>
          </w:pPr>
          <w:r>
            <w:fldChar w:fldCharType="begin"/>
          </w:r>
          <w:r>
            <w:instrText xml:space="preserve"> HYPERLINK \l "_Toc6970" </w:instrText>
          </w:r>
          <w:r>
            <w:fldChar w:fldCharType="separate"/>
          </w:r>
          <w:r>
            <w:t>5.4、科技创新与人才培养专题</w:t>
          </w:r>
          <w:r>
            <w:tab/>
          </w:r>
          <w:r>
            <w:fldChar w:fldCharType="begin"/>
          </w:r>
          <w:r>
            <w:instrText xml:space="preserve"> PAGEREF _Toc6970 </w:instrText>
          </w:r>
          <w:r>
            <w:fldChar w:fldCharType="separate"/>
          </w:r>
          <w:r>
            <w:t>75</w:t>
          </w:r>
          <w:r>
            <w:fldChar w:fldCharType="end"/>
          </w:r>
          <w:r>
            <w:fldChar w:fldCharType="end"/>
          </w:r>
        </w:p>
        <w:p>
          <w:pPr>
            <w:pStyle w:val="11"/>
            <w:tabs>
              <w:tab w:val="right" w:leader="hyphen" w:pos="8312"/>
            </w:tabs>
          </w:pPr>
          <w:r>
            <w:fldChar w:fldCharType="begin"/>
          </w:r>
          <w:r>
            <w:instrText xml:space="preserve"> HYPERLINK \l "_Toc11267" </w:instrText>
          </w:r>
          <w:r>
            <w:fldChar w:fldCharType="separate"/>
          </w:r>
          <w:r>
            <w:rPr>
              <w:rFonts w:hint="eastAsia"/>
            </w:rPr>
            <w:t>附件一：调查方法与数据样本情况</w:t>
          </w:r>
          <w:r>
            <w:tab/>
          </w:r>
          <w:r>
            <w:fldChar w:fldCharType="begin"/>
          </w:r>
          <w:r>
            <w:instrText xml:space="preserve"> PAGEREF _Toc11267 </w:instrText>
          </w:r>
          <w:r>
            <w:fldChar w:fldCharType="separate"/>
          </w:r>
          <w:r>
            <w:t>83</w:t>
          </w:r>
          <w:r>
            <w:fldChar w:fldCharType="end"/>
          </w:r>
          <w:r>
            <w:fldChar w:fldCharType="end"/>
          </w:r>
        </w:p>
        <w:p>
          <w:pPr>
            <w:pStyle w:val="11"/>
            <w:tabs>
              <w:tab w:val="right" w:leader="hyphen" w:pos="8312"/>
            </w:tabs>
          </w:pPr>
          <w:r>
            <w:fldChar w:fldCharType="begin"/>
          </w:r>
          <w:r>
            <w:instrText xml:space="preserve"> HYPERLINK \l "_Toc17641" </w:instrText>
          </w:r>
          <w:r>
            <w:fldChar w:fldCharType="separate"/>
          </w:r>
          <w:r>
            <w:rPr>
              <w:rFonts w:hint="eastAsia" w:eastAsia="宋体" w:cstheme="minorHAnsi"/>
              <w:szCs w:val="32"/>
            </w:rPr>
            <w:t>附件二：调查报告致谢词</w:t>
          </w:r>
          <w:r>
            <w:tab/>
          </w:r>
          <w:r>
            <w:fldChar w:fldCharType="begin"/>
          </w:r>
          <w:r>
            <w:instrText xml:space="preserve"> PAGEREF _Toc17641 </w:instrText>
          </w:r>
          <w:r>
            <w:fldChar w:fldCharType="separate"/>
          </w:r>
          <w:r>
            <w:t>88</w:t>
          </w:r>
          <w:r>
            <w:fldChar w:fldCharType="end"/>
          </w:r>
          <w:r>
            <w:fldChar w:fldCharType="end"/>
          </w:r>
        </w:p>
        <w:p>
          <w:pPr>
            <w:pStyle w:val="11"/>
            <w:tabs>
              <w:tab w:val="right" w:leader="hyphen" w:pos="8312"/>
            </w:tabs>
          </w:pPr>
          <w:r>
            <w:fldChar w:fldCharType="begin"/>
          </w:r>
          <w:r>
            <w:instrText xml:space="preserve"> HYPERLINK \l "_Toc30371"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_Toc30371 </w:instrText>
          </w:r>
          <w:r>
            <w:fldChar w:fldCharType="separate"/>
          </w:r>
          <w:r>
            <w:t>89</w:t>
          </w:r>
          <w:r>
            <w:fldChar w:fldCharType="end"/>
          </w:r>
          <w:r>
            <w:fldChar w:fldCharType="end"/>
          </w:r>
        </w:p>
        <w:p>
          <w:pPr>
            <w:pStyle w:val="11"/>
            <w:tabs>
              <w:tab w:val="right" w:leader="hyphen" w:pos="8312"/>
            </w:tabs>
          </w:pPr>
          <w:r>
            <w:fldChar w:fldCharType="begin"/>
          </w:r>
          <w:r>
            <w:instrText xml:space="preserve"> HYPERLINK \l "_Toc4517"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_Toc4517 </w:instrText>
          </w:r>
          <w:r>
            <w:fldChar w:fldCharType="separate"/>
          </w:r>
          <w:r>
            <w:t>91</w:t>
          </w:r>
          <w:r>
            <w:fldChar w:fldCharType="end"/>
          </w:r>
          <w:r>
            <w:fldChar w:fldCharType="end"/>
          </w:r>
        </w:p>
        <w:p>
          <w:r>
            <w:fldChar w:fldCharType="end"/>
          </w:r>
        </w:p>
      </w:sdtContent>
    </w:sdt>
    <w:p>
      <w:pPr>
        <w:ind w:firstLine="562"/>
        <w:rPr>
          <w:rFonts w:ascii="黑体" w:hAnsi="黑体" w:eastAsia="黑体"/>
          <w:b/>
          <w:bCs/>
          <w:kern w:val="44"/>
          <w:sz w:val="28"/>
          <w:szCs w:val="28"/>
        </w:rPr>
      </w:pPr>
      <w:r>
        <w:rPr>
          <w:rFonts w:hint="eastAsia" w:ascii="黑体" w:hAnsi="黑体" w:eastAsia="黑体"/>
          <w:b/>
          <w:bCs/>
          <w:kern w:val="44"/>
          <w:sz w:val="28"/>
          <w:szCs w:val="28"/>
        </w:rPr>
        <w:br w:type="page"/>
      </w:r>
    </w:p>
    <w:p>
      <w:pPr>
        <w:pStyle w:val="12"/>
        <w:tabs>
          <w:tab w:val="right" w:leader="dot" w:pos="8296"/>
        </w:tabs>
        <w:ind w:left="224" w:leftChars="10" w:hangingChars="71"/>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hyphen"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bookmarkStart w:id="43" w:name="_Toc7264"/>
      <w:r>
        <w:rPr>
          <w:rFonts w:hint="eastAsia" w:ascii="黑体" w:hAnsi="黑体" w:eastAsia="黑体"/>
          <w:bCs/>
          <w:kern w:val="44"/>
          <w:szCs w:val="28"/>
        </w:rPr>
        <w:fldChar w:fldCharType="begin"/>
      </w:r>
      <w:r>
        <w:rPr>
          <w:rFonts w:hint="eastAsia" w:ascii="黑体" w:hAnsi="黑体" w:eastAsia="黑体"/>
          <w:bCs/>
          <w:kern w:val="44"/>
          <w:szCs w:val="28"/>
        </w:rPr>
        <w:instrText xml:space="preserve"> HYPERLINK \l _Toc25731 </w:instrText>
      </w:r>
      <w:r>
        <w:rPr>
          <w:rFonts w:hint="eastAsia" w:ascii="黑体" w:hAnsi="黑体" w:eastAsia="黑体"/>
          <w:bCs/>
          <w:kern w:val="44"/>
          <w:szCs w:val="28"/>
        </w:rPr>
        <w:fldChar w:fldCharType="separate"/>
      </w:r>
      <w:r>
        <w:rPr>
          <w:rFonts w:hint="eastAsia"/>
        </w:rPr>
        <w:t>图表</w:t>
      </w:r>
      <w:r>
        <w:t xml:space="preserve">1 </w:t>
      </w:r>
      <w:r>
        <w:rPr>
          <w:rFonts w:hint="eastAsia"/>
        </w:rPr>
        <w:t>：郑州从业人员网民性别分布图</w:t>
      </w:r>
      <w:r>
        <w:tab/>
      </w:r>
      <w:r>
        <w:fldChar w:fldCharType="begin"/>
      </w:r>
      <w:r>
        <w:instrText xml:space="preserve"> PAGEREF _Toc25731 </w:instrText>
      </w:r>
      <w:r>
        <w:fldChar w:fldCharType="separate"/>
      </w:r>
      <w:r>
        <w:t>14</w:t>
      </w:r>
      <w:r>
        <w:fldChar w:fldCharType="end"/>
      </w:r>
      <w:r>
        <w:rPr>
          <w:rFonts w:hint="eastAsia" w:ascii="黑体" w:hAnsi="黑体" w:eastAsia="黑体"/>
          <w:bCs/>
          <w:kern w:val="44"/>
          <w:szCs w:val="28"/>
        </w:rPr>
        <w:fldChar w:fldCharType="end"/>
      </w:r>
    </w:p>
    <w:p>
      <w:pPr>
        <w:pStyle w:val="12"/>
        <w:tabs>
          <w:tab w:val="right" w:leader="hyphen" w:pos="8312"/>
        </w:tabs>
        <w:ind w:left="960" w:hanging="480"/>
      </w:pPr>
      <w:r>
        <w:fldChar w:fldCharType="begin"/>
      </w:r>
      <w:r>
        <w:instrText xml:space="preserve"> HYPERLINK \l "_Toc11242" </w:instrText>
      </w:r>
      <w:r>
        <w:fldChar w:fldCharType="separate"/>
      </w:r>
      <w:r>
        <w:rPr>
          <w:rFonts w:hint="eastAsia"/>
        </w:rPr>
        <w:t>图表</w:t>
      </w:r>
      <w:r>
        <w:t xml:space="preserve">2 </w:t>
      </w:r>
      <w:r>
        <w:rPr>
          <w:rFonts w:hint="eastAsia"/>
        </w:rPr>
        <w:t>：郑州从业人员网民年龄分布图</w:t>
      </w:r>
      <w:r>
        <w:tab/>
      </w:r>
      <w:r>
        <w:fldChar w:fldCharType="begin"/>
      </w:r>
      <w:r>
        <w:instrText xml:space="preserve"> PAGEREF _Toc11242 </w:instrText>
      </w:r>
      <w:r>
        <w:fldChar w:fldCharType="separate"/>
      </w:r>
      <w:r>
        <w:t>15</w:t>
      </w:r>
      <w:r>
        <w:fldChar w:fldCharType="end"/>
      </w:r>
      <w:r>
        <w:fldChar w:fldCharType="end"/>
      </w:r>
    </w:p>
    <w:p>
      <w:pPr>
        <w:pStyle w:val="12"/>
        <w:tabs>
          <w:tab w:val="right" w:leader="hyphen" w:pos="8312"/>
        </w:tabs>
        <w:ind w:left="960" w:hanging="480"/>
      </w:pPr>
      <w:r>
        <w:fldChar w:fldCharType="begin"/>
      </w:r>
      <w:r>
        <w:instrText xml:space="preserve"> HYPERLINK \l "_Toc7919" </w:instrText>
      </w:r>
      <w:r>
        <w:fldChar w:fldCharType="separate"/>
      </w:r>
      <w:r>
        <w:rPr>
          <w:rFonts w:hint="eastAsia"/>
        </w:rPr>
        <w:t>图表</w:t>
      </w:r>
      <w:r>
        <w:t xml:space="preserve">3 </w:t>
      </w:r>
      <w:r>
        <w:rPr>
          <w:rFonts w:hint="eastAsia"/>
        </w:rPr>
        <w:t>：郑州从业人员网民从业时间分布图</w:t>
      </w:r>
      <w:r>
        <w:tab/>
      </w:r>
      <w:r>
        <w:fldChar w:fldCharType="begin"/>
      </w:r>
      <w:r>
        <w:instrText xml:space="preserve"> PAGEREF _Toc7919 </w:instrText>
      </w:r>
      <w:r>
        <w:fldChar w:fldCharType="separate"/>
      </w:r>
      <w:r>
        <w:t>16</w:t>
      </w:r>
      <w:r>
        <w:fldChar w:fldCharType="end"/>
      </w:r>
      <w:r>
        <w:fldChar w:fldCharType="end"/>
      </w:r>
    </w:p>
    <w:p>
      <w:pPr>
        <w:pStyle w:val="12"/>
        <w:tabs>
          <w:tab w:val="right" w:leader="hyphen" w:pos="8312"/>
        </w:tabs>
        <w:ind w:left="960" w:hanging="480"/>
      </w:pPr>
      <w:r>
        <w:fldChar w:fldCharType="begin"/>
      </w:r>
      <w:r>
        <w:instrText xml:space="preserve"> HYPERLINK \l "_Toc6664" </w:instrText>
      </w:r>
      <w:r>
        <w:fldChar w:fldCharType="separate"/>
      </w:r>
      <w:r>
        <w:rPr>
          <w:rFonts w:hint="eastAsia"/>
        </w:rPr>
        <w:t>图表</w:t>
      </w:r>
      <w:r>
        <w:t xml:space="preserve">4 </w:t>
      </w:r>
      <w:r>
        <w:rPr>
          <w:rFonts w:hint="eastAsia"/>
        </w:rPr>
        <w:t>：郑州从业人员学历分布图</w:t>
      </w:r>
      <w:r>
        <w:tab/>
      </w:r>
      <w:r>
        <w:fldChar w:fldCharType="begin"/>
      </w:r>
      <w:r>
        <w:instrText xml:space="preserve"> PAGEREF _Toc6664 </w:instrText>
      </w:r>
      <w:r>
        <w:fldChar w:fldCharType="separate"/>
      </w:r>
      <w:r>
        <w:t>16</w:t>
      </w:r>
      <w:r>
        <w:fldChar w:fldCharType="end"/>
      </w:r>
      <w:r>
        <w:fldChar w:fldCharType="end"/>
      </w:r>
    </w:p>
    <w:p>
      <w:pPr>
        <w:pStyle w:val="12"/>
        <w:tabs>
          <w:tab w:val="right" w:leader="hyphen" w:pos="8312"/>
        </w:tabs>
        <w:ind w:left="960" w:hanging="480"/>
      </w:pPr>
      <w:r>
        <w:fldChar w:fldCharType="begin"/>
      </w:r>
      <w:r>
        <w:instrText xml:space="preserve"> HYPERLINK \l "_Toc15836" </w:instrText>
      </w:r>
      <w:r>
        <w:fldChar w:fldCharType="separate"/>
      </w:r>
      <w:r>
        <w:rPr>
          <w:rFonts w:hint="eastAsia"/>
        </w:rPr>
        <w:t>图表</w:t>
      </w:r>
      <w:r>
        <w:t xml:space="preserve">5 </w:t>
      </w:r>
      <w:r>
        <w:rPr>
          <w:rFonts w:hint="eastAsia"/>
        </w:rPr>
        <w:t>：郑州</w:t>
      </w:r>
      <w:r>
        <w:t>从业人员工作单位分布占比</w:t>
      </w:r>
      <w:r>
        <w:tab/>
      </w:r>
      <w:r>
        <w:fldChar w:fldCharType="begin"/>
      </w:r>
      <w:r>
        <w:instrText xml:space="preserve"> PAGEREF _Toc15836 </w:instrText>
      </w:r>
      <w:r>
        <w:fldChar w:fldCharType="separate"/>
      </w:r>
      <w:r>
        <w:t>17</w:t>
      </w:r>
      <w:r>
        <w:fldChar w:fldCharType="end"/>
      </w:r>
      <w:r>
        <w:fldChar w:fldCharType="end"/>
      </w:r>
    </w:p>
    <w:p>
      <w:pPr>
        <w:pStyle w:val="12"/>
        <w:tabs>
          <w:tab w:val="right" w:leader="hyphen" w:pos="8312"/>
        </w:tabs>
        <w:ind w:left="960" w:hanging="480"/>
      </w:pPr>
      <w:r>
        <w:fldChar w:fldCharType="begin"/>
      </w:r>
      <w:r>
        <w:instrText xml:space="preserve"> HYPERLINK \l "_Toc13404" </w:instrText>
      </w:r>
      <w:r>
        <w:fldChar w:fldCharType="separate"/>
      </w:r>
      <w:r>
        <w:rPr>
          <w:rFonts w:hint="eastAsia" w:ascii="宋体" w:eastAsia="宋体"/>
        </w:rPr>
        <w:t>图表</w:t>
      </w:r>
      <w:r>
        <w:t xml:space="preserve">6 </w:t>
      </w:r>
      <w:r>
        <w:rPr>
          <w:rFonts w:hint="eastAsia" w:ascii="宋体" w:eastAsia="宋体"/>
        </w:rPr>
        <w:t>：郑州</w:t>
      </w:r>
      <w:r>
        <w:rPr>
          <w:rFonts w:ascii="宋体" w:eastAsia="宋体"/>
        </w:rPr>
        <w:t>从业人员网民安全感评价分布图</w:t>
      </w:r>
      <w:r>
        <w:tab/>
      </w:r>
      <w:r>
        <w:fldChar w:fldCharType="begin"/>
      </w:r>
      <w:r>
        <w:instrText xml:space="preserve"> PAGEREF _Toc13404 </w:instrText>
      </w:r>
      <w:r>
        <w:fldChar w:fldCharType="separate"/>
      </w:r>
      <w:r>
        <w:t>18</w:t>
      </w:r>
      <w:r>
        <w:fldChar w:fldCharType="end"/>
      </w:r>
      <w:r>
        <w:fldChar w:fldCharType="end"/>
      </w:r>
    </w:p>
    <w:p>
      <w:pPr>
        <w:pStyle w:val="12"/>
        <w:tabs>
          <w:tab w:val="right" w:leader="hyphen" w:pos="8312"/>
        </w:tabs>
        <w:ind w:left="960" w:hanging="480"/>
      </w:pPr>
      <w:r>
        <w:fldChar w:fldCharType="begin"/>
      </w:r>
      <w:r>
        <w:instrText xml:space="preserve"> HYPERLINK \l "_Toc15275" </w:instrText>
      </w:r>
      <w:r>
        <w:fldChar w:fldCharType="separate"/>
      </w:r>
      <w:r>
        <w:rPr>
          <w:rFonts w:hint="eastAsia" w:asciiTheme="minorEastAsia" w:hAnsiTheme="minorEastAsia"/>
        </w:rPr>
        <w:t>图表</w:t>
      </w:r>
      <w:r>
        <w:t xml:space="preserve">7 </w:t>
      </w:r>
      <w:r>
        <w:rPr>
          <w:rFonts w:hint="eastAsia" w:asciiTheme="minorEastAsia" w:hAnsiTheme="minorEastAsia"/>
        </w:rPr>
        <w:t>：郑州</w:t>
      </w:r>
      <w:r>
        <w:rPr>
          <w:rFonts w:asciiTheme="minorEastAsia" w:hAnsiTheme="minorEastAsia"/>
        </w:rPr>
        <w:t>从业人员网民安全感变化评价图</w:t>
      </w:r>
      <w:r>
        <w:tab/>
      </w:r>
      <w:r>
        <w:fldChar w:fldCharType="begin"/>
      </w:r>
      <w:r>
        <w:instrText xml:space="preserve"> PAGEREF _Toc15275 </w:instrText>
      </w:r>
      <w:r>
        <w:fldChar w:fldCharType="separate"/>
      </w:r>
      <w:r>
        <w:t>19</w:t>
      </w:r>
      <w:r>
        <w:fldChar w:fldCharType="end"/>
      </w:r>
      <w:r>
        <w:fldChar w:fldCharType="end"/>
      </w:r>
    </w:p>
    <w:p>
      <w:pPr>
        <w:pStyle w:val="12"/>
        <w:tabs>
          <w:tab w:val="right" w:leader="hyphen" w:pos="8312"/>
        </w:tabs>
        <w:ind w:left="960" w:hanging="480"/>
      </w:pPr>
      <w:r>
        <w:fldChar w:fldCharType="begin"/>
      </w:r>
      <w:r>
        <w:instrText xml:space="preserve"> HYPERLINK \l "_Toc3431" </w:instrText>
      </w:r>
      <w:r>
        <w:fldChar w:fldCharType="separate"/>
      </w:r>
      <w:r>
        <w:rPr>
          <w:rFonts w:hint="eastAsia" w:asciiTheme="minorEastAsia" w:hAnsiTheme="minorEastAsia"/>
        </w:rPr>
        <w:t>图表</w:t>
      </w:r>
      <w:r>
        <w:t xml:space="preserve">8 </w:t>
      </w:r>
      <w:r>
        <w:rPr>
          <w:rFonts w:hint="eastAsia" w:asciiTheme="minorEastAsia" w:hAnsiTheme="minorEastAsia"/>
        </w:rPr>
        <w:t>：在工作中最常面对的网络安全威胁遇到率图</w:t>
      </w:r>
      <w:r>
        <w:tab/>
      </w:r>
      <w:r>
        <w:fldChar w:fldCharType="begin"/>
      </w:r>
      <w:r>
        <w:instrText xml:space="preserve"> PAGEREF _Toc3431 </w:instrText>
      </w:r>
      <w:r>
        <w:fldChar w:fldCharType="separate"/>
      </w:r>
      <w:r>
        <w:t>20</w:t>
      </w:r>
      <w:r>
        <w:fldChar w:fldCharType="end"/>
      </w:r>
      <w:r>
        <w:fldChar w:fldCharType="end"/>
      </w:r>
    </w:p>
    <w:p>
      <w:pPr>
        <w:pStyle w:val="12"/>
        <w:tabs>
          <w:tab w:val="right" w:leader="hyphen" w:pos="8312"/>
        </w:tabs>
        <w:ind w:left="960" w:hanging="480"/>
      </w:pPr>
      <w:r>
        <w:fldChar w:fldCharType="begin"/>
      </w:r>
      <w:r>
        <w:instrText xml:space="preserve"> HYPERLINK \l "_Toc11532" </w:instrText>
      </w:r>
      <w:r>
        <w:fldChar w:fldCharType="separate"/>
      </w:r>
      <w:r>
        <w:rPr>
          <w:rFonts w:hint="eastAsia"/>
        </w:rPr>
        <w:t>图表</w:t>
      </w:r>
      <w:r>
        <w:t xml:space="preserve">9 </w:t>
      </w:r>
      <w:r>
        <w:rPr>
          <w:rFonts w:hint="eastAsia"/>
        </w:rPr>
        <w:t>：网民遇到的违法有害信息</w:t>
      </w:r>
      <w:r>
        <w:tab/>
      </w:r>
      <w:r>
        <w:fldChar w:fldCharType="begin"/>
      </w:r>
      <w:r>
        <w:instrText xml:space="preserve"> PAGEREF _Toc11532 </w:instrText>
      </w:r>
      <w:r>
        <w:fldChar w:fldCharType="separate"/>
      </w:r>
      <w:r>
        <w:t>21</w:t>
      </w:r>
      <w:r>
        <w:fldChar w:fldCharType="end"/>
      </w:r>
      <w:r>
        <w:fldChar w:fldCharType="end"/>
      </w:r>
    </w:p>
    <w:p>
      <w:pPr>
        <w:pStyle w:val="12"/>
        <w:tabs>
          <w:tab w:val="right" w:leader="hyphen" w:pos="8312"/>
        </w:tabs>
        <w:ind w:left="960" w:hanging="480"/>
      </w:pPr>
      <w:r>
        <w:fldChar w:fldCharType="begin"/>
      </w:r>
      <w:r>
        <w:instrText xml:space="preserve"> HYPERLINK \l "_Toc15999" </w:instrText>
      </w:r>
      <w:r>
        <w:fldChar w:fldCharType="separate"/>
      </w:r>
      <w:r>
        <w:rPr>
          <w:rFonts w:hint="eastAsia" w:asciiTheme="minorEastAsia" w:hAnsiTheme="minorEastAsia"/>
        </w:rPr>
        <w:t>图表</w:t>
      </w:r>
      <w:r>
        <w:t xml:space="preserve">10 </w:t>
      </w:r>
      <w:r>
        <w:rPr>
          <w:rFonts w:hint="eastAsia" w:asciiTheme="minorEastAsia" w:hAnsiTheme="minorEastAsia"/>
        </w:rPr>
        <w:t>：互联网黑灰产业情况评价分布图</w:t>
      </w:r>
      <w:r>
        <w:tab/>
      </w:r>
      <w:r>
        <w:fldChar w:fldCharType="begin"/>
      </w:r>
      <w:r>
        <w:instrText xml:space="preserve"> PAGEREF _Toc15999 </w:instrText>
      </w:r>
      <w:r>
        <w:fldChar w:fldCharType="separate"/>
      </w:r>
      <w:r>
        <w:t>22</w:t>
      </w:r>
      <w:r>
        <w:fldChar w:fldCharType="end"/>
      </w:r>
      <w:r>
        <w:fldChar w:fldCharType="end"/>
      </w:r>
    </w:p>
    <w:p>
      <w:pPr>
        <w:pStyle w:val="12"/>
        <w:tabs>
          <w:tab w:val="right" w:leader="hyphen" w:pos="8312"/>
        </w:tabs>
        <w:ind w:left="960" w:hanging="480"/>
      </w:pPr>
      <w:r>
        <w:fldChar w:fldCharType="begin"/>
      </w:r>
      <w:r>
        <w:instrText xml:space="preserve"> HYPERLINK \l "_Toc19987" </w:instrText>
      </w:r>
      <w:r>
        <w:fldChar w:fldCharType="separate"/>
      </w:r>
      <w:r>
        <w:rPr>
          <w:rFonts w:hint="eastAsia" w:asciiTheme="minorEastAsia" w:hAnsiTheme="minorEastAsia"/>
          <w:szCs w:val="21"/>
        </w:rPr>
        <w:t>图表</w:t>
      </w:r>
      <w:r>
        <w:t xml:space="preserve">11 </w:t>
      </w:r>
      <w:r>
        <w:rPr>
          <w:rFonts w:hint="eastAsia" w:asciiTheme="minorEastAsia" w:hAnsiTheme="minorEastAsia"/>
          <w:szCs w:val="21"/>
        </w:rPr>
        <w:t>：</w:t>
      </w:r>
      <w:r>
        <w:rPr>
          <w:rFonts w:asciiTheme="minorEastAsia" w:hAnsiTheme="minorEastAsia"/>
          <w:bCs/>
          <w:szCs w:val="21"/>
        </w:rPr>
        <w:t>常见的黑灰产业犯罪手法分布图</w:t>
      </w:r>
      <w:r>
        <w:tab/>
      </w:r>
      <w:r>
        <w:fldChar w:fldCharType="begin"/>
      </w:r>
      <w:r>
        <w:instrText xml:space="preserve"> PAGEREF _Toc19987 </w:instrText>
      </w:r>
      <w:r>
        <w:fldChar w:fldCharType="separate"/>
      </w:r>
      <w:r>
        <w:t>23</w:t>
      </w:r>
      <w:r>
        <w:fldChar w:fldCharType="end"/>
      </w:r>
      <w:r>
        <w:fldChar w:fldCharType="end"/>
      </w:r>
    </w:p>
    <w:p>
      <w:pPr>
        <w:pStyle w:val="12"/>
        <w:tabs>
          <w:tab w:val="right" w:leader="hyphen" w:pos="8312"/>
        </w:tabs>
        <w:ind w:left="960" w:hanging="480"/>
      </w:pPr>
      <w:r>
        <w:fldChar w:fldCharType="begin"/>
      </w:r>
      <w:r>
        <w:instrText xml:space="preserve"> HYPERLINK \l "_Toc32125" </w:instrText>
      </w:r>
      <w:r>
        <w:fldChar w:fldCharType="separate"/>
      </w:r>
      <w:r>
        <w:rPr>
          <w:rFonts w:hint="eastAsia" w:asciiTheme="minorEastAsia" w:hAnsiTheme="minorEastAsia" w:cstheme="minorEastAsia"/>
          <w:szCs w:val="21"/>
        </w:rPr>
        <w:t>图表</w:t>
      </w:r>
      <w:r>
        <w:t xml:space="preserve">12 </w:t>
      </w:r>
      <w:r>
        <w:rPr>
          <w:rFonts w:hint="eastAsia" w:asciiTheme="minorEastAsia" w:hAnsiTheme="minorEastAsia" w:cstheme="minorEastAsia"/>
          <w:szCs w:val="21"/>
        </w:rPr>
        <w:t>：刷流量网络水军现象屡禁不绝的原因</w:t>
      </w:r>
      <w:r>
        <w:tab/>
      </w:r>
      <w:r>
        <w:fldChar w:fldCharType="begin"/>
      </w:r>
      <w:r>
        <w:instrText xml:space="preserve"> PAGEREF _Toc32125 </w:instrText>
      </w:r>
      <w:r>
        <w:fldChar w:fldCharType="separate"/>
      </w:r>
      <w:r>
        <w:t>23</w:t>
      </w:r>
      <w:r>
        <w:fldChar w:fldCharType="end"/>
      </w:r>
      <w:r>
        <w:fldChar w:fldCharType="end"/>
      </w:r>
    </w:p>
    <w:p>
      <w:pPr>
        <w:pStyle w:val="12"/>
        <w:tabs>
          <w:tab w:val="right" w:leader="hyphen" w:pos="8312"/>
        </w:tabs>
        <w:ind w:left="960" w:hanging="480"/>
      </w:pPr>
      <w:r>
        <w:fldChar w:fldCharType="begin"/>
      </w:r>
      <w:r>
        <w:instrText xml:space="preserve"> HYPERLINK \l "_Toc25999" </w:instrText>
      </w:r>
      <w:r>
        <w:fldChar w:fldCharType="separate"/>
      </w:r>
      <w:r>
        <w:rPr>
          <w:rFonts w:hint="eastAsia" w:asciiTheme="minorEastAsia" w:hAnsiTheme="minorEastAsia"/>
          <w:szCs w:val="21"/>
        </w:rPr>
        <w:t>图表</w:t>
      </w:r>
      <w:r>
        <w:t xml:space="preserve">13 </w:t>
      </w:r>
      <w:r>
        <w:rPr>
          <w:rFonts w:hint="eastAsia" w:asciiTheme="minorEastAsia" w:hAnsiTheme="minorEastAsia"/>
          <w:szCs w:val="21"/>
        </w:rPr>
        <w:t>：</w:t>
      </w:r>
      <w:r>
        <w:rPr>
          <w:rFonts w:asciiTheme="minorEastAsia" w:hAnsiTheme="minorEastAsia"/>
          <w:szCs w:val="21"/>
        </w:rPr>
        <w:t>整治网络黑灰产业关键手段评价</w:t>
      </w:r>
      <w:r>
        <w:tab/>
      </w:r>
      <w:r>
        <w:fldChar w:fldCharType="begin"/>
      </w:r>
      <w:r>
        <w:instrText xml:space="preserve"> PAGEREF _Toc25999 </w:instrText>
      </w:r>
      <w:r>
        <w:fldChar w:fldCharType="separate"/>
      </w:r>
      <w:r>
        <w:t>24</w:t>
      </w:r>
      <w:r>
        <w:fldChar w:fldCharType="end"/>
      </w:r>
      <w:r>
        <w:fldChar w:fldCharType="end"/>
      </w:r>
    </w:p>
    <w:p>
      <w:pPr>
        <w:pStyle w:val="12"/>
        <w:tabs>
          <w:tab w:val="right" w:leader="hyphen" w:pos="8312"/>
        </w:tabs>
        <w:ind w:left="960" w:hanging="480"/>
      </w:pPr>
      <w:r>
        <w:fldChar w:fldCharType="begin"/>
      </w:r>
      <w:r>
        <w:instrText xml:space="preserve"> HYPERLINK \l "_Toc15031" </w:instrText>
      </w:r>
      <w:r>
        <w:fldChar w:fldCharType="separate"/>
      </w:r>
      <w:r>
        <w:rPr>
          <w:rFonts w:hint="eastAsia" w:asciiTheme="minorEastAsia" w:hAnsiTheme="minorEastAsia" w:cstheme="minorEastAsia"/>
        </w:rPr>
        <w:t>图表</w:t>
      </w:r>
      <w:r>
        <w:t xml:space="preserve">14 </w:t>
      </w:r>
      <w:r>
        <w:rPr>
          <w:rFonts w:hint="eastAsia" w:asciiTheme="minorEastAsia" w:hAnsiTheme="minorEastAsia" w:cstheme="minorEastAsia"/>
        </w:rPr>
        <w:t>：网络安全最突出或亟需治理的问题</w:t>
      </w:r>
      <w:r>
        <w:tab/>
      </w:r>
      <w:r>
        <w:fldChar w:fldCharType="begin"/>
      </w:r>
      <w:r>
        <w:instrText xml:space="preserve"> PAGEREF _Toc15031 </w:instrText>
      </w:r>
      <w:r>
        <w:fldChar w:fldCharType="separate"/>
      </w:r>
      <w:r>
        <w:t>25</w:t>
      </w:r>
      <w:r>
        <w:fldChar w:fldCharType="end"/>
      </w:r>
      <w:r>
        <w:fldChar w:fldCharType="end"/>
      </w:r>
    </w:p>
    <w:p>
      <w:pPr>
        <w:pStyle w:val="12"/>
        <w:tabs>
          <w:tab w:val="right" w:leader="hyphen" w:pos="8312"/>
        </w:tabs>
        <w:ind w:left="960" w:hanging="480"/>
      </w:pPr>
      <w:r>
        <w:fldChar w:fldCharType="begin"/>
      </w:r>
      <w:r>
        <w:instrText xml:space="preserve"> HYPERLINK \l "_Toc29335" </w:instrText>
      </w:r>
      <w:r>
        <w:fldChar w:fldCharType="separate"/>
      </w:r>
      <w:r>
        <w:rPr>
          <w:rFonts w:hint="eastAsia"/>
        </w:rPr>
        <w:t>图表</w:t>
      </w:r>
      <w:r>
        <w:t xml:space="preserve">15 </w:t>
      </w:r>
      <w:r>
        <w:rPr>
          <w:rFonts w:hint="eastAsia"/>
        </w:rPr>
        <w:t>：维护网络安全最需要采取的措施</w:t>
      </w:r>
      <w:r>
        <w:tab/>
      </w:r>
      <w:r>
        <w:fldChar w:fldCharType="begin"/>
      </w:r>
      <w:r>
        <w:instrText xml:space="preserve"> PAGEREF _Toc29335 </w:instrText>
      </w:r>
      <w:r>
        <w:fldChar w:fldCharType="separate"/>
      </w:r>
      <w:r>
        <w:t>26</w:t>
      </w:r>
      <w:r>
        <w:fldChar w:fldCharType="end"/>
      </w:r>
      <w:r>
        <w:fldChar w:fldCharType="end"/>
      </w:r>
    </w:p>
    <w:p>
      <w:pPr>
        <w:pStyle w:val="12"/>
        <w:tabs>
          <w:tab w:val="right" w:leader="hyphen" w:pos="8312"/>
        </w:tabs>
        <w:ind w:left="960" w:hanging="480"/>
      </w:pPr>
      <w:r>
        <w:fldChar w:fldCharType="begin"/>
      </w:r>
      <w:r>
        <w:instrText xml:space="preserve"> HYPERLINK \l "_Toc23342" </w:instrText>
      </w:r>
      <w:r>
        <w:fldChar w:fldCharType="separate"/>
      </w:r>
      <w:r>
        <w:rPr>
          <w:rFonts w:hint="eastAsia"/>
        </w:rPr>
        <w:t>图表</w:t>
      </w:r>
      <w:r>
        <w:t xml:space="preserve">16 </w:t>
      </w:r>
      <w:r>
        <w:rPr>
          <w:rFonts w:hint="eastAsia"/>
        </w:rPr>
        <w:t>：亟待加强的网络安全立法内容</w:t>
      </w:r>
      <w:r>
        <w:tab/>
      </w:r>
      <w:r>
        <w:fldChar w:fldCharType="begin"/>
      </w:r>
      <w:r>
        <w:instrText xml:space="preserve"> PAGEREF _Toc23342 </w:instrText>
      </w:r>
      <w:r>
        <w:fldChar w:fldCharType="separate"/>
      </w:r>
      <w:r>
        <w:t>27</w:t>
      </w:r>
      <w:r>
        <w:fldChar w:fldCharType="end"/>
      </w:r>
      <w:r>
        <w:fldChar w:fldCharType="end"/>
      </w:r>
    </w:p>
    <w:p>
      <w:pPr>
        <w:pStyle w:val="12"/>
        <w:tabs>
          <w:tab w:val="right" w:leader="hyphen" w:pos="8312"/>
        </w:tabs>
        <w:ind w:left="960" w:hanging="480"/>
      </w:pPr>
      <w:r>
        <w:fldChar w:fldCharType="begin"/>
      </w:r>
      <w:r>
        <w:instrText xml:space="preserve"> HYPERLINK \l "_Toc22629" </w:instrText>
      </w:r>
      <w:r>
        <w:fldChar w:fldCharType="separate"/>
      </w:r>
      <w:r>
        <w:rPr>
          <w:rFonts w:hint="eastAsia"/>
        </w:rPr>
        <w:t>图表</w:t>
      </w:r>
      <w:r>
        <w:t xml:space="preserve">17 </w:t>
      </w:r>
      <w:r>
        <w:rPr>
          <w:rFonts w:hint="eastAsia"/>
        </w:rPr>
        <w:t>：</w:t>
      </w:r>
      <w:r>
        <w:rPr>
          <w:rFonts w:ascii="Times New Roman"/>
        </w:rPr>
        <w:t>网络安全的相关管理部门认知度</w:t>
      </w:r>
      <w:r>
        <w:tab/>
      </w:r>
      <w:r>
        <w:fldChar w:fldCharType="begin"/>
      </w:r>
      <w:r>
        <w:instrText xml:space="preserve"> PAGEREF _Toc22629 </w:instrText>
      </w:r>
      <w:r>
        <w:fldChar w:fldCharType="separate"/>
      </w:r>
      <w:r>
        <w:t>28</w:t>
      </w:r>
      <w:r>
        <w:fldChar w:fldCharType="end"/>
      </w:r>
      <w:r>
        <w:fldChar w:fldCharType="end"/>
      </w:r>
    </w:p>
    <w:p>
      <w:pPr>
        <w:pStyle w:val="12"/>
        <w:tabs>
          <w:tab w:val="right" w:leader="hyphen" w:pos="8312"/>
        </w:tabs>
        <w:ind w:left="960" w:hanging="480"/>
      </w:pPr>
      <w:r>
        <w:fldChar w:fldCharType="begin"/>
      </w:r>
      <w:r>
        <w:instrText xml:space="preserve"> HYPERLINK \l "_Toc25352" </w:instrText>
      </w:r>
      <w:r>
        <w:fldChar w:fldCharType="separate"/>
      </w:r>
      <w:r>
        <w:rPr>
          <w:rFonts w:hint="eastAsia"/>
        </w:rPr>
        <w:t>图表</w:t>
      </w:r>
      <w:r>
        <w:t xml:space="preserve">18 </w:t>
      </w:r>
      <w:r>
        <w:rPr>
          <w:rFonts w:hint="eastAsia"/>
        </w:rPr>
        <w:t>：</w:t>
      </w:r>
      <w:r>
        <w:t>政府部门网络安全监管力度评价</w:t>
      </w:r>
      <w:r>
        <w:tab/>
      </w:r>
      <w:r>
        <w:fldChar w:fldCharType="begin"/>
      </w:r>
      <w:r>
        <w:instrText xml:space="preserve"> PAGEREF _Toc25352 </w:instrText>
      </w:r>
      <w:r>
        <w:fldChar w:fldCharType="separate"/>
      </w:r>
      <w:r>
        <w:t>29</w:t>
      </w:r>
      <w:r>
        <w:fldChar w:fldCharType="end"/>
      </w:r>
      <w:r>
        <w:fldChar w:fldCharType="end"/>
      </w:r>
    </w:p>
    <w:p>
      <w:pPr>
        <w:pStyle w:val="12"/>
        <w:tabs>
          <w:tab w:val="right" w:leader="hyphen" w:pos="8312"/>
        </w:tabs>
        <w:ind w:left="960" w:hanging="480"/>
      </w:pPr>
      <w:r>
        <w:fldChar w:fldCharType="begin"/>
      </w:r>
      <w:r>
        <w:instrText xml:space="preserve"> HYPERLINK \l "_Toc31848" </w:instrText>
      </w:r>
      <w:r>
        <w:fldChar w:fldCharType="separate"/>
      </w:r>
      <w:r>
        <w:rPr>
          <w:rFonts w:hint="eastAsia"/>
        </w:rPr>
        <w:t>图表</w:t>
      </w:r>
      <w:r>
        <w:t xml:space="preserve">19 </w:t>
      </w:r>
      <w:r>
        <w:rPr>
          <w:rFonts w:hint="eastAsia"/>
        </w:rPr>
        <w:t>：郑州</w:t>
      </w:r>
      <w:r>
        <w:t>从业人员所在行业占比</w:t>
      </w:r>
      <w:r>
        <w:tab/>
      </w:r>
      <w:r>
        <w:fldChar w:fldCharType="begin"/>
      </w:r>
      <w:r>
        <w:instrText xml:space="preserve"> PAGEREF _Toc31848 </w:instrText>
      </w:r>
      <w:r>
        <w:fldChar w:fldCharType="separate"/>
      </w:r>
      <w:r>
        <w:t>30</w:t>
      </w:r>
      <w:r>
        <w:fldChar w:fldCharType="end"/>
      </w:r>
      <w:r>
        <w:fldChar w:fldCharType="end"/>
      </w:r>
    </w:p>
    <w:p>
      <w:pPr>
        <w:pStyle w:val="12"/>
        <w:tabs>
          <w:tab w:val="right" w:leader="hyphen" w:pos="8312"/>
        </w:tabs>
        <w:ind w:left="960" w:hanging="480"/>
      </w:pPr>
      <w:r>
        <w:fldChar w:fldCharType="begin"/>
      </w:r>
      <w:r>
        <w:instrText xml:space="preserve"> HYPERLINK \l "_Toc9280" </w:instrText>
      </w:r>
      <w:r>
        <w:fldChar w:fldCharType="separate"/>
      </w:r>
      <w:r>
        <w:rPr>
          <w:rFonts w:hint="eastAsia"/>
        </w:rPr>
        <w:t>图表</w:t>
      </w:r>
      <w:r>
        <w:t xml:space="preserve">20 </w:t>
      </w:r>
      <w:r>
        <w:rPr>
          <w:rFonts w:hint="eastAsia"/>
        </w:rPr>
        <w:t>:所在行业对等级保护工作指导现状</w:t>
      </w:r>
      <w:r>
        <w:tab/>
      </w:r>
      <w:r>
        <w:fldChar w:fldCharType="begin"/>
      </w:r>
      <w:r>
        <w:instrText xml:space="preserve"> PAGEREF _Toc9280 </w:instrText>
      </w:r>
      <w:r>
        <w:fldChar w:fldCharType="separate"/>
      </w:r>
      <w:r>
        <w:t>31</w:t>
      </w:r>
      <w:r>
        <w:fldChar w:fldCharType="end"/>
      </w:r>
      <w:r>
        <w:fldChar w:fldCharType="end"/>
      </w:r>
    </w:p>
    <w:p>
      <w:pPr>
        <w:pStyle w:val="12"/>
        <w:tabs>
          <w:tab w:val="right" w:leader="hyphen" w:pos="8312"/>
        </w:tabs>
        <w:ind w:left="960" w:hanging="480"/>
      </w:pPr>
      <w:r>
        <w:fldChar w:fldCharType="begin"/>
      </w:r>
      <w:r>
        <w:instrText xml:space="preserve"> HYPERLINK \l "_Toc2708" </w:instrText>
      </w:r>
      <w:r>
        <w:fldChar w:fldCharType="separate"/>
      </w:r>
      <w:r>
        <w:rPr>
          <w:rFonts w:hint="eastAsia" w:asciiTheme="minorEastAsia" w:hAnsiTheme="minorEastAsia" w:cstheme="minorEastAsia"/>
        </w:rPr>
        <w:t>图表</w:t>
      </w:r>
      <w:r>
        <w:t xml:space="preserve">21 </w:t>
      </w:r>
      <w:r>
        <w:rPr>
          <w:rFonts w:hint="eastAsia" w:asciiTheme="minorEastAsia" w:hAnsiTheme="minorEastAsia" w:cstheme="minorEastAsia"/>
        </w:rPr>
        <w:t>：网络安全对单位重要性认识</w:t>
      </w:r>
      <w:r>
        <w:tab/>
      </w:r>
      <w:r>
        <w:fldChar w:fldCharType="begin"/>
      </w:r>
      <w:r>
        <w:instrText xml:space="preserve"> PAGEREF _Toc2708 </w:instrText>
      </w:r>
      <w:r>
        <w:fldChar w:fldCharType="separate"/>
      </w:r>
      <w:r>
        <w:t>32</w:t>
      </w:r>
      <w:r>
        <w:fldChar w:fldCharType="end"/>
      </w:r>
      <w:r>
        <w:fldChar w:fldCharType="end"/>
      </w:r>
    </w:p>
    <w:p>
      <w:pPr>
        <w:pStyle w:val="12"/>
        <w:tabs>
          <w:tab w:val="right" w:leader="hyphen" w:pos="8312"/>
        </w:tabs>
        <w:ind w:left="960" w:hanging="480"/>
      </w:pPr>
      <w:r>
        <w:fldChar w:fldCharType="begin"/>
      </w:r>
      <w:r>
        <w:instrText xml:space="preserve"> HYPERLINK \l "_Toc17820" </w:instrText>
      </w:r>
      <w:r>
        <w:fldChar w:fldCharType="separate"/>
      </w:r>
      <w:r>
        <w:rPr>
          <w:rFonts w:hint="eastAsia" w:asciiTheme="minorEastAsia" w:hAnsiTheme="minorEastAsia" w:cstheme="minorEastAsia"/>
        </w:rPr>
        <w:t>图表</w:t>
      </w:r>
      <w:r>
        <w:t xml:space="preserve">22 </w:t>
      </w:r>
      <w:r>
        <w:rPr>
          <w:rFonts w:hint="eastAsia" w:asciiTheme="minorEastAsia" w:hAnsiTheme="minorEastAsia" w:cstheme="minorEastAsia"/>
        </w:rPr>
        <w:t>：对单位安全管理状况的了解</w:t>
      </w:r>
      <w:r>
        <w:tab/>
      </w:r>
      <w:r>
        <w:fldChar w:fldCharType="begin"/>
      </w:r>
      <w:r>
        <w:instrText xml:space="preserve"> PAGEREF _Toc17820 </w:instrText>
      </w:r>
      <w:r>
        <w:fldChar w:fldCharType="separate"/>
      </w:r>
      <w:r>
        <w:t>33</w:t>
      </w:r>
      <w:r>
        <w:fldChar w:fldCharType="end"/>
      </w:r>
      <w:r>
        <w:fldChar w:fldCharType="end"/>
      </w:r>
    </w:p>
    <w:p>
      <w:pPr>
        <w:pStyle w:val="12"/>
        <w:tabs>
          <w:tab w:val="right" w:leader="hyphen" w:pos="8312"/>
        </w:tabs>
        <w:ind w:left="960" w:hanging="480"/>
      </w:pPr>
      <w:r>
        <w:fldChar w:fldCharType="begin"/>
      </w:r>
      <w:r>
        <w:instrText xml:space="preserve"> HYPERLINK \l "_Toc21501" </w:instrText>
      </w:r>
      <w:r>
        <w:fldChar w:fldCharType="separate"/>
      </w:r>
      <w:r>
        <w:rPr>
          <w:rFonts w:hint="eastAsia" w:hAnsi="Calibri" w:cs="Times New Roman"/>
          <w:szCs w:val="18"/>
          <w:lang w:bidi="ar"/>
        </w:rPr>
        <w:t>图表</w:t>
      </w:r>
      <w:r>
        <w:t xml:space="preserve">23 </w:t>
      </w:r>
      <w:r>
        <w:rPr>
          <w:rFonts w:hint="eastAsia" w:hAnsi="Calibri" w:cs="Times New Roman"/>
          <w:szCs w:val="18"/>
          <w:lang w:bidi="ar"/>
        </w:rPr>
        <w:t>：所在单位网络安全管理状况满意度评价</w:t>
      </w:r>
      <w:r>
        <w:tab/>
      </w:r>
      <w:r>
        <w:fldChar w:fldCharType="begin"/>
      </w:r>
      <w:r>
        <w:instrText xml:space="preserve"> PAGEREF _Toc21501 </w:instrText>
      </w:r>
      <w:r>
        <w:fldChar w:fldCharType="separate"/>
      </w:r>
      <w:r>
        <w:t>33</w:t>
      </w:r>
      <w:r>
        <w:fldChar w:fldCharType="end"/>
      </w:r>
      <w:r>
        <w:fldChar w:fldCharType="end"/>
      </w:r>
    </w:p>
    <w:p>
      <w:pPr>
        <w:pStyle w:val="12"/>
        <w:tabs>
          <w:tab w:val="right" w:leader="hyphen" w:pos="8312"/>
        </w:tabs>
        <w:ind w:left="960" w:hanging="480"/>
      </w:pPr>
      <w:r>
        <w:fldChar w:fldCharType="begin"/>
      </w:r>
      <w:r>
        <w:instrText xml:space="preserve"> HYPERLINK \l "_Toc13791" </w:instrText>
      </w:r>
      <w:r>
        <w:fldChar w:fldCharType="separate"/>
      </w:r>
      <w:r>
        <w:rPr>
          <w:rFonts w:hint="eastAsia" w:ascii="宋体" w:hAnsi="Calibri" w:eastAsia="宋体"/>
          <w:szCs w:val="18"/>
          <w:lang w:bidi="ar"/>
        </w:rPr>
        <w:t>图表</w:t>
      </w:r>
      <w:r>
        <w:t xml:space="preserve">24 </w:t>
      </w:r>
      <w:r>
        <w:rPr>
          <w:rFonts w:hint="eastAsia" w:ascii="宋体" w:hAnsi="Calibri" w:eastAsia="宋体"/>
          <w:szCs w:val="18"/>
          <w:lang w:bidi="ar"/>
        </w:rPr>
        <w:t>：</w:t>
      </w:r>
      <w:r>
        <w:rPr>
          <w:rFonts w:hint="eastAsia"/>
        </w:rPr>
        <w:t>所在单位的网络安全管理需要改善的地方</w:t>
      </w:r>
      <w:r>
        <w:tab/>
      </w:r>
      <w:r>
        <w:fldChar w:fldCharType="begin"/>
      </w:r>
      <w:r>
        <w:instrText xml:space="preserve"> PAGEREF _Toc13791 </w:instrText>
      </w:r>
      <w:r>
        <w:fldChar w:fldCharType="separate"/>
      </w:r>
      <w:r>
        <w:t>34</w:t>
      </w:r>
      <w:r>
        <w:fldChar w:fldCharType="end"/>
      </w:r>
      <w:r>
        <w:fldChar w:fldCharType="end"/>
      </w:r>
    </w:p>
    <w:p>
      <w:pPr>
        <w:pStyle w:val="12"/>
        <w:tabs>
          <w:tab w:val="right" w:leader="hyphen" w:pos="8312"/>
        </w:tabs>
        <w:ind w:left="960" w:hanging="480"/>
      </w:pPr>
      <w:r>
        <w:fldChar w:fldCharType="begin"/>
      </w:r>
      <w:r>
        <w:instrText xml:space="preserve"> HYPERLINK \l "_Toc31652" </w:instrText>
      </w:r>
      <w:r>
        <w:fldChar w:fldCharType="separate"/>
      </w:r>
      <w:r>
        <w:rPr>
          <w:rFonts w:hint="eastAsia" w:ascii="宋体" w:hAnsi="Calibri" w:eastAsia="宋体"/>
          <w:szCs w:val="18"/>
          <w:lang w:bidi="ar"/>
        </w:rPr>
        <w:t>图表</w:t>
      </w:r>
      <w:r>
        <w:t xml:space="preserve">25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_Toc31652 </w:instrText>
      </w:r>
      <w:r>
        <w:fldChar w:fldCharType="separate"/>
      </w:r>
      <w:r>
        <w:t>35</w:t>
      </w:r>
      <w:r>
        <w:fldChar w:fldCharType="end"/>
      </w:r>
      <w:r>
        <w:fldChar w:fldCharType="end"/>
      </w:r>
    </w:p>
    <w:p>
      <w:pPr>
        <w:pStyle w:val="12"/>
        <w:tabs>
          <w:tab w:val="right" w:leader="hyphen" w:pos="8312"/>
        </w:tabs>
        <w:ind w:left="960" w:hanging="480"/>
      </w:pPr>
      <w:r>
        <w:fldChar w:fldCharType="begin"/>
      </w:r>
      <w:r>
        <w:instrText xml:space="preserve"> HYPERLINK \l "_Toc24384" </w:instrText>
      </w:r>
      <w:r>
        <w:fldChar w:fldCharType="separate"/>
      </w:r>
      <w:r>
        <w:rPr>
          <w:rFonts w:hint="eastAsia" w:ascii="宋体" w:hAnsi="Calibri" w:eastAsia="宋体"/>
          <w:szCs w:val="18"/>
          <w:lang w:bidi="ar"/>
        </w:rPr>
        <w:t>图表</w:t>
      </w:r>
      <w:r>
        <w:t xml:space="preserve">26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_Toc24384 </w:instrText>
      </w:r>
      <w:r>
        <w:fldChar w:fldCharType="separate"/>
      </w:r>
      <w:r>
        <w:t>35</w:t>
      </w:r>
      <w:r>
        <w:fldChar w:fldCharType="end"/>
      </w:r>
      <w:r>
        <w:fldChar w:fldCharType="end"/>
      </w:r>
    </w:p>
    <w:p>
      <w:pPr>
        <w:pStyle w:val="12"/>
        <w:tabs>
          <w:tab w:val="right" w:leader="hyphen" w:pos="8312"/>
        </w:tabs>
        <w:ind w:left="960" w:hanging="480"/>
      </w:pPr>
      <w:r>
        <w:fldChar w:fldCharType="begin"/>
      </w:r>
      <w:r>
        <w:instrText xml:space="preserve"> HYPERLINK \l "_Toc26000" </w:instrText>
      </w:r>
      <w:r>
        <w:fldChar w:fldCharType="separate"/>
      </w:r>
      <w:r>
        <w:rPr>
          <w:rFonts w:hint="eastAsia" w:hAnsi="Calibri" w:cs="Times New Roman"/>
          <w:szCs w:val="18"/>
          <w:lang w:bidi="ar"/>
        </w:rPr>
        <w:t>图表</w:t>
      </w:r>
      <w:r>
        <w:t xml:space="preserve">27 </w:t>
      </w:r>
      <w:r>
        <w:rPr>
          <w:rFonts w:hint="eastAsia" w:hAnsi="Calibri" w:cs="Times New Roman"/>
          <w:szCs w:val="18"/>
          <w:lang w:bidi="ar"/>
        </w:rPr>
        <w:t>：所在单位网络安全经费预算落实情况</w:t>
      </w:r>
      <w:r>
        <w:tab/>
      </w:r>
      <w:r>
        <w:fldChar w:fldCharType="begin"/>
      </w:r>
      <w:r>
        <w:instrText xml:space="preserve"> PAGEREF _Toc26000 </w:instrText>
      </w:r>
      <w:r>
        <w:fldChar w:fldCharType="separate"/>
      </w:r>
      <w:r>
        <w:t>36</w:t>
      </w:r>
      <w:r>
        <w:fldChar w:fldCharType="end"/>
      </w:r>
      <w:r>
        <w:fldChar w:fldCharType="end"/>
      </w:r>
    </w:p>
    <w:p>
      <w:pPr>
        <w:pStyle w:val="12"/>
        <w:tabs>
          <w:tab w:val="right" w:leader="hyphen" w:pos="8312"/>
        </w:tabs>
        <w:ind w:left="960" w:hanging="480"/>
      </w:pPr>
      <w:r>
        <w:fldChar w:fldCharType="begin"/>
      </w:r>
      <w:r>
        <w:instrText xml:space="preserve"> HYPERLINK \l "_Toc12060" </w:instrText>
      </w:r>
      <w:r>
        <w:fldChar w:fldCharType="separate"/>
      </w:r>
      <w:r>
        <w:rPr>
          <w:rFonts w:hint="eastAsia" w:hAnsi="Calibri" w:cs="Times New Roman"/>
          <w:szCs w:val="18"/>
          <w:lang w:bidi="ar"/>
        </w:rPr>
        <w:t>图表</w:t>
      </w:r>
      <w:r>
        <w:t xml:space="preserve">28 </w:t>
      </w:r>
      <w:r>
        <w:rPr>
          <w:rFonts w:hint="eastAsia" w:hAnsi="Calibri" w:cs="Times New Roman"/>
          <w:szCs w:val="18"/>
          <w:lang w:bidi="ar"/>
        </w:rPr>
        <w:t>：对企业网络安全合规应遵循法规的认识</w:t>
      </w:r>
      <w:r>
        <w:tab/>
      </w:r>
      <w:r>
        <w:fldChar w:fldCharType="begin"/>
      </w:r>
      <w:r>
        <w:instrText xml:space="preserve"> PAGEREF _Toc12060 </w:instrText>
      </w:r>
      <w:r>
        <w:fldChar w:fldCharType="separate"/>
      </w:r>
      <w:r>
        <w:t>37</w:t>
      </w:r>
      <w:r>
        <w:fldChar w:fldCharType="end"/>
      </w:r>
      <w:r>
        <w:fldChar w:fldCharType="end"/>
      </w:r>
    </w:p>
    <w:p>
      <w:pPr>
        <w:pStyle w:val="12"/>
        <w:tabs>
          <w:tab w:val="right" w:leader="hyphen" w:pos="8312"/>
        </w:tabs>
        <w:ind w:left="960" w:hanging="480"/>
      </w:pPr>
      <w:r>
        <w:fldChar w:fldCharType="begin"/>
      </w:r>
      <w:r>
        <w:instrText xml:space="preserve"> HYPERLINK \l "_Toc7201" </w:instrText>
      </w:r>
      <w:r>
        <w:fldChar w:fldCharType="separate"/>
      </w:r>
      <w:r>
        <w:rPr>
          <w:rFonts w:hint="eastAsia" w:hAnsi="Calibri" w:cs="Times New Roman"/>
          <w:szCs w:val="18"/>
          <w:lang w:bidi="ar"/>
        </w:rPr>
        <w:t>图表</w:t>
      </w:r>
      <w:r>
        <w:t xml:space="preserve">29 </w:t>
      </w:r>
      <w:r>
        <w:rPr>
          <w:rFonts w:hint="eastAsia" w:hAnsi="Calibri" w:cs="Times New Roman"/>
          <w:szCs w:val="18"/>
          <w:lang w:bidi="ar"/>
        </w:rPr>
        <w:t>：政府提供的网络安全服务对行业帮助的有效性评价</w:t>
      </w:r>
      <w:r>
        <w:tab/>
      </w:r>
      <w:r>
        <w:fldChar w:fldCharType="begin"/>
      </w:r>
      <w:r>
        <w:instrText xml:space="preserve"> PAGEREF _Toc7201 </w:instrText>
      </w:r>
      <w:r>
        <w:fldChar w:fldCharType="separate"/>
      </w:r>
      <w:r>
        <w:t>38</w:t>
      </w:r>
      <w:r>
        <w:fldChar w:fldCharType="end"/>
      </w:r>
      <w:r>
        <w:fldChar w:fldCharType="end"/>
      </w:r>
    </w:p>
    <w:p>
      <w:pPr>
        <w:pStyle w:val="12"/>
        <w:tabs>
          <w:tab w:val="right" w:leader="hyphen" w:pos="8312"/>
        </w:tabs>
        <w:ind w:left="960" w:hanging="480"/>
      </w:pPr>
      <w:r>
        <w:fldChar w:fldCharType="begin"/>
      </w:r>
      <w:r>
        <w:instrText xml:space="preserve"> HYPERLINK \l "_Toc17896" </w:instrText>
      </w:r>
      <w:r>
        <w:fldChar w:fldCharType="separate"/>
      </w:r>
      <w:r>
        <w:rPr>
          <w:rFonts w:hint="eastAsia" w:asciiTheme="minorEastAsia" w:hAnsiTheme="minorEastAsia" w:cstheme="minorEastAsia"/>
          <w:szCs w:val="18"/>
          <w:lang w:bidi="ar"/>
        </w:rPr>
        <w:t>图表</w:t>
      </w:r>
      <w:r>
        <w:t xml:space="preserve">30 </w:t>
      </w:r>
      <w:r>
        <w:rPr>
          <w:rFonts w:hint="eastAsia" w:asciiTheme="minorEastAsia" w:hAnsiTheme="minorEastAsia" w:cstheme="minorEastAsia"/>
          <w:szCs w:val="18"/>
          <w:lang w:bidi="ar"/>
        </w:rPr>
        <w:t>：政府提供的网络安全服务对行业帮助的有效性评价</w:t>
      </w:r>
      <w:r>
        <w:tab/>
      </w:r>
      <w:r>
        <w:fldChar w:fldCharType="begin"/>
      </w:r>
      <w:r>
        <w:instrText xml:space="preserve"> PAGEREF _Toc17896 </w:instrText>
      </w:r>
      <w:r>
        <w:fldChar w:fldCharType="separate"/>
      </w:r>
      <w:r>
        <w:t>39</w:t>
      </w:r>
      <w:r>
        <w:fldChar w:fldCharType="end"/>
      </w:r>
      <w:r>
        <w:fldChar w:fldCharType="end"/>
      </w:r>
    </w:p>
    <w:p>
      <w:pPr>
        <w:pStyle w:val="12"/>
        <w:tabs>
          <w:tab w:val="right" w:leader="hyphen" w:pos="8312"/>
        </w:tabs>
        <w:ind w:left="960" w:hanging="480"/>
      </w:pPr>
      <w:r>
        <w:fldChar w:fldCharType="begin"/>
      </w:r>
      <w:r>
        <w:instrText xml:space="preserve"> HYPERLINK \l "_Toc8098" </w:instrText>
      </w:r>
      <w:r>
        <w:fldChar w:fldCharType="separate"/>
      </w:r>
      <w:r>
        <w:rPr>
          <w:rFonts w:hint="eastAsia" w:hAnsi="Calibri" w:cs="Times New Roman"/>
          <w:szCs w:val="18"/>
          <w:lang w:bidi="ar"/>
        </w:rPr>
        <w:t>图表</w:t>
      </w:r>
      <w:r>
        <w:t xml:space="preserve">31 </w:t>
      </w:r>
      <w:r>
        <w:rPr>
          <w:rFonts w:hint="eastAsia" w:hAnsi="Calibri" w:cs="Times New Roman"/>
          <w:szCs w:val="18"/>
          <w:lang w:bidi="ar"/>
        </w:rPr>
        <w:t>：从业人员对网络安全“三化”概念的认识</w:t>
      </w:r>
      <w:r>
        <w:tab/>
      </w:r>
      <w:r>
        <w:fldChar w:fldCharType="begin"/>
      </w:r>
      <w:r>
        <w:instrText xml:space="preserve"> PAGEREF _Toc8098 </w:instrText>
      </w:r>
      <w:r>
        <w:fldChar w:fldCharType="separate"/>
      </w:r>
      <w:r>
        <w:t>40</w:t>
      </w:r>
      <w:r>
        <w:fldChar w:fldCharType="end"/>
      </w:r>
      <w:r>
        <w:fldChar w:fldCharType="end"/>
      </w:r>
    </w:p>
    <w:p>
      <w:pPr>
        <w:pStyle w:val="12"/>
        <w:tabs>
          <w:tab w:val="right" w:leader="hyphen" w:pos="8312"/>
        </w:tabs>
        <w:ind w:left="960" w:hanging="480"/>
      </w:pPr>
      <w:r>
        <w:fldChar w:fldCharType="begin"/>
      </w:r>
      <w:r>
        <w:instrText xml:space="preserve"> HYPERLINK \l "_Toc25449" </w:instrText>
      </w:r>
      <w:r>
        <w:fldChar w:fldCharType="separate"/>
      </w:r>
      <w:r>
        <w:rPr>
          <w:rFonts w:hint="eastAsia" w:asciiTheme="minorEastAsia" w:hAnsiTheme="minorEastAsia" w:cstheme="minorEastAsia"/>
        </w:rPr>
        <w:t>图表</w:t>
      </w:r>
      <w:r>
        <w:t xml:space="preserve">32 </w:t>
      </w:r>
      <w:r>
        <w:rPr>
          <w:rFonts w:hint="eastAsia" w:asciiTheme="minorEastAsia" w:hAnsiTheme="minorEastAsia" w:cstheme="minorEastAsia"/>
        </w:rPr>
        <w:t>：对网络安全“六防”措施的认识</w:t>
      </w:r>
      <w:r>
        <w:tab/>
      </w:r>
      <w:r>
        <w:fldChar w:fldCharType="begin"/>
      </w:r>
      <w:r>
        <w:instrText xml:space="preserve"> PAGEREF _Toc25449 </w:instrText>
      </w:r>
      <w:r>
        <w:fldChar w:fldCharType="separate"/>
      </w:r>
      <w:r>
        <w:t>41</w:t>
      </w:r>
      <w:r>
        <w:fldChar w:fldCharType="end"/>
      </w:r>
      <w:r>
        <w:fldChar w:fldCharType="end"/>
      </w:r>
    </w:p>
    <w:p>
      <w:pPr>
        <w:pStyle w:val="12"/>
        <w:tabs>
          <w:tab w:val="right" w:leader="hyphen" w:pos="8312"/>
        </w:tabs>
        <w:ind w:left="960" w:hanging="480"/>
      </w:pPr>
      <w:r>
        <w:fldChar w:fldCharType="begin"/>
      </w:r>
      <w:r>
        <w:instrText xml:space="preserve"> HYPERLINK \l "_Toc21533" </w:instrText>
      </w:r>
      <w:r>
        <w:fldChar w:fldCharType="separate"/>
      </w:r>
      <w:r>
        <w:rPr>
          <w:rFonts w:hint="eastAsia" w:hAnsi="Calibri" w:cs="Times New Roman"/>
          <w:szCs w:val="18"/>
          <w:lang w:bidi="ar"/>
        </w:rPr>
        <w:t>图表</w:t>
      </w:r>
      <w:r>
        <w:t xml:space="preserve">33 </w:t>
      </w:r>
      <w:r>
        <w:rPr>
          <w:rFonts w:hint="eastAsia" w:hAnsi="Calibri" w:cs="Times New Roman"/>
          <w:szCs w:val="18"/>
          <w:lang w:bidi="ar"/>
        </w:rPr>
        <w:t>：对网络安全等级保护制度2.0标准的了解</w:t>
      </w:r>
      <w:r>
        <w:tab/>
      </w:r>
      <w:r>
        <w:fldChar w:fldCharType="begin"/>
      </w:r>
      <w:r>
        <w:instrText xml:space="preserve"> PAGEREF _Toc21533 </w:instrText>
      </w:r>
      <w:r>
        <w:fldChar w:fldCharType="separate"/>
      </w:r>
      <w:r>
        <w:t>42</w:t>
      </w:r>
      <w:r>
        <w:fldChar w:fldCharType="end"/>
      </w:r>
      <w:r>
        <w:fldChar w:fldCharType="end"/>
      </w:r>
    </w:p>
    <w:p>
      <w:pPr>
        <w:pStyle w:val="12"/>
        <w:tabs>
          <w:tab w:val="right" w:leader="hyphen" w:pos="8312"/>
        </w:tabs>
        <w:ind w:left="960" w:hanging="480"/>
      </w:pPr>
      <w:r>
        <w:fldChar w:fldCharType="begin"/>
      </w:r>
      <w:r>
        <w:instrText xml:space="preserve"> HYPERLINK \l "_Toc25383" </w:instrText>
      </w:r>
      <w:r>
        <w:fldChar w:fldCharType="separate"/>
      </w:r>
      <w:r>
        <w:rPr>
          <w:rFonts w:hint="eastAsia" w:hAnsi="Calibri" w:cs="Times New Roman"/>
          <w:szCs w:val="18"/>
          <w:lang w:bidi="ar"/>
        </w:rPr>
        <w:t>图表</w:t>
      </w:r>
      <w:r>
        <w:t xml:space="preserve">34 </w:t>
      </w:r>
      <w:r>
        <w:rPr>
          <w:rFonts w:hint="eastAsia" w:hAnsi="Calibri" w:cs="Times New Roman"/>
          <w:szCs w:val="18"/>
          <w:lang w:bidi="ar"/>
        </w:rPr>
        <w:t>：网络安全等级保护对产业、企业发展的推动作用</w:t>
      </w:r>
      <w:r>
        <w:tab/>
      </w:r>
      <w:r>
        <w:fldChar w:fldCharType="begin"/>
      </w:r>
      <w:r>
        <w:instrText xml:space="preserve"> PAGEREF _Toc25383 </w:instrText>
      </w:r>
      <w:r>
        <w:fldChar w:fldCharType="separate"/>
      </w:r>
      <w:r>
        <w:t>43</w:t>
      </w:r>
      <w:r>
        <w:fldChar w:fldCharType="end"/>
      </w:r>
      <w:r>
        <w:fldChar w:fldCharType="end"/>
      </w:r>
    </w:p>
    <w:p>
      <w:pPr>
        <w:pStyle w:val="12"/>
        <w:tabs>
          <w:tab w:val="right" w:leader="hyphen" w:pos="8312"/>
        </w:tabs>
        <w:ind w:left="960" w:hanging="480"/>
      </w:pPr>
      <w:r>
        <w:fldChar w:fldCharType="begin"/>
      </w:r>
      <w:r>
        <w:instrText xml:space="preserve"> HYPERLINK \l "_Toc371" </w:instrText>
      </w:r>
      <w:r>
        <w:fldChar w:fldCharType="separate"/>
      </w:r>
      <w:r>
        <w:rPr>
          <w:rFonts w:hint="eastAsia" w:asciiTheme="minorEastAsia" w:hAnsiTheme="minorEastAsia" w:cstheme="minorEastAsia"/>
          <w:szCs w:val="18"/>
          <w:lang w:bidi="ar"/>
        </w:rPr>
        <w:t>图表</w:t>
      </w:r>
      <w:r>
        <w:t xml:space="preserve">35 </w:t>
      </w:r>
      <w:r>
        <w:rPr>
          <w:rFonts w:hint="eastAsia" w:asciiTheme="minorEastAsia" w:hAnsiTheme="minorEastAsia" w:cstheme="minorEastAsia"/>
          <w:szCs w:val="18"/>
          <w:lang w:bidi="ar"/>
        </w:rPr>
        <w:t>：所在单位网络安全等级保护开展情况</w:t>
      </w:r>
      <w:r>
        <w:tab/>
      </w:r>
      <w:r>
        <w:fldChar w:fldCharType="begin"/>
      </w:r>
      <w:r>
        <w:instrText xml:space="preserve"> PAGEREF _Toc371 </w:instrText>
      </w:r>
      <w:r>
        <w:fldChar w:fldCharType="separate"/>
      </w:r>
      <w:r>
        <w:t>43</w:t>
      </w:r>
      <w:r>
        <w:fldChar w:fldCharType="end"/>
      </w:r>
      <w:r>
        <w:fldChar w:fldCharType="end"/>
      </w:r>
    </w:p>
    <w:p>
      <w:pPr>
        <w:pStyle w:val="12"/>
        <w:tabs>
          <w:tab w:val="right" w:leader="hyphen" w:pos="8312"/>
        </w:tabs>
        <w:ind w:left="960" w:hanging="480"/>
      </w:pPr>
      <w:r>
        <w:fldChar w:fldCharType="begin"/>
      </w:r>
      <w:r>
        <w:instrText xml:space="preserve"> HYPERLINK \l "_Toc23839" </w:instrText>
      </w:r>
      <w:r>
        <w:fldChar w:fldCharType="separate"/>
      </w:r>
      <w:r>
        <w:rPr>
          <w:rFonts w:hint="eastAsia" w:hAnsi="Calibri" w:cs="Times New Roman"/>
          <w:szCs w:val="18"/>
          <w:lang w:bidi="ar"/>
        </w:rPr>
        <w:t>图表</w:t>
      </w:r>
      <w:r>
        <w:t xml:space="preserve">36 </w:t>
      </w:r>
      <w:r>
        <w:rPr>
          <w:rFonts w:hint="eastAsia" w:hAnsi="Calibri" w:cs="Times New Roman"/>
          <w:szCs w:val="18"/>
          <w:lang w:bidi="ar"/>
        </w:rPr>
        <w:t>：对测评机构服务满意度评价</w:t>
      </w:r>
      <w:r>
        <w:tab/>
      </w:r>
      <w:r>
        <w:fldChar w:fldCharType="begin"/>
      </w:r>
      <w:r>
        <w:instrText xml:space="preserve"> PAGEREF _Toc23839 </w:instrText>
      </w:r>
      <w:r>
        <w:fldChar w:fldCharType="separate"/>
      </w:r>
      <w:r>
        <w:t>44</w:t>
      </w:r>
      <w:r>
        <w:fldChar w:fldCharType="end"/>
      </w:r>
      <w:r>
        <w:fldChar w:fldCharType="end"/>
      </w:r>
    </w:p>
    <w:p>
      <w:pPr>
        <w:pStyle w:val="12"/>
        <w:tabs>
          <w:tab w:val="right" w:leader="hyphen" w:pos="8312"/>
        </w:tabs>
        <w:ind w:left="960" w:hanging="480"/>
      </w:pPr>
      <w:r>
        <w:fldChar w:fldCharType="begin"/>
      </w:r>
      <w:r>
        <w:instrText xml:space="preserve"> HYPERLINK \l "_Toc6571" </w:instrText>
      </w:r>
      <w:r>
        <w:fldChar w:fldCharType="separate"/>
      </w:r>
      <w:r>
        <w:rPr>
          <w:rFonts w:hint="eastAsia" w:hAnsi="Calibri" w:cs="Times New Roman"/>
          <w:szCs w:val="18"/>
          <w:lang w:bidi="ar"/>
        </w:rPr>
        <w:t>图表</w:t>
      </w:r>
      <w:r>
        <w:t xml:space="preserve">37 </w:t>
      </w:r>
      <w:r>
        <w:rPr>
          <w:rFonts w:hint="eastAsia" w:hAnsi="Calibri" w:cs="Times New Roman"/>
          <w:szCs w:val="18"/>
          <w:lang w:bidi="ar"/>
        </w:rPr>
        <w:t>：所在单位发生网络安全事件</w:t>
      </w:r>
      <w:r>
        <w:tab/>
      </w:r>
      <w:r>
        <w:fldChar w:fldCharType="begin"/>
      </w:r>
      <w:r>
        <w:instrText xml:space="preserve"> PAGEREF _Toc6571 </w:instrText>
      </w:r>
      <w:r>
        <w:fldChar w:fldCharType="separate"/>
      </w:r>
      <w:r>
        <w:t>45</w:t>
      </w:r>
      <w:r>
        <w:fldChar w:fldCharType="end"/>
      </w:r>
      <w:r>
        <w:fldChar w:fldCharType="end"/>
      </w:r>
    </w:p>
    <w:p>
      <w:pPr>
        <w:pStyle w:val="12"/>
        <w:tabs>
          <w:tab w:val="right" w:leader="hyphen" w:pos="8312"/>
        </w:tabs>
        <w:ind w:left="960" w:hanging="480"/>
      </w:pPr>
      <w:r>
        <w:fldChar w:fldCharType="begin"/>
      </w:r>
      <w:r>
        <w:instrText xml:space="preserve"> HYPERLINK \l "_Toc16056" </w:instrText>
      </w:r>
      <w:r>
        <w:fldChar w:fldCharType="separate"/>
      </w:r>
      <w:r>
        <w:rPr>
          <w:rFonts w:hint="eastAsia" w:hAnsi="Calibri" w:cs="Times New Roman"/>
          <w:szCs w:val="18"/>
          <w:lang w:bidi="ar"/>
        </w:rPr>
        <w:t>图表</w:t>
      </w:r>
      <w:r>
        <w:t xml:space="preserve">38 </w:t>
      </w:r>
      <w:r>
        <w:rPr>
          <w:rFonts w:hint="eastAsia" w:hAnsi="Calibri" w:cs="Times New Roman"/>
          <w:szCs w:val="18"/>
          <w:lang w:bidi="ar"/>
        </w:rPr>
        <w:t>：单位发生网络安全事件种类</w:t>
      </w:r>
      <w:r>
        <w:tab/>
      </w:r>
      <w:r>
        <w:fldChar w:fldCharType="begin"/>
      </w:r>
      <w:r>
        <w:instrText xml:space="preserve"> PAGEREF _Toc16056 </w:instrText>
      </w:r>
      <w:r>
        <w:fldChar w:fldCharType="separate"/>
      </w:r>
      <w:r>
        <w:t>46</w:t>
      </w:r>
      <w:r>
        <w:fldChar w:fldCharType="end"/>
      </w:r>
      <w:r>
        <w:fldChar w:fldCharType="end"/>
      </w:r>
    </w:p>
    <w:p>
      <w:pPr>
        <w:pStyle w:val="12"/>
        <w:tabs>
          <w:tab w:val="right" w:leader="hyphen" w:pos="8312"/>
        </w:tabs>
        <w:ind w:left="960" w:hanging="480"/>
      </w:pPr>
      <w:r>
        <w:fldChar w:fldCharType="begin"/>
      </w:r>
      <w:r>
        <w:instrText xml:space="preserve"> HYPERLINK \l "_Toc14731" </w:instrText>
      </w:r>
      <w:r>
        <w:fldChar w:fldCharType="separate"/>
      </w:r>
      <w:r>
        <w:rPr>
          <w:rFonts w:hint="eastAsia" w:hAnsi="Calibri" w:cs="Times New Roman"/>
          <w:szCs w:val="18"/>
          <w:lang w:bidi="ar"/>
        </w:rPr>
        <w:t>图表</w:t>
      </w:r>
      <w:r>
        <w:t xml:space="preserve">39 </w:t>
      </w:r>
      <w:r>
        <w:rPr>
          <w:rFonts w:hint="eastAsia" w:hAnsi="Calibri" w:cs="Times New Roman"/>
          <w:szCs w:val="18"/>
          <w:lang w:bidi="ar"/>
        </w:rPr>
        <w:t>：单位网络安全应急预案完善度</w:t>
      </w:r>
      <w:r>
        <w:tab/>
      </w:r>
      <w:r>
        <w:fldChar w:fldCharType="begin"/>
      </w:r>
      <w:r>
        <w:instrText xml:space="preserve"> PAGEREF _Toc14731 </w:instrText>
      </w:r>
      <w:r>
        <w:fldChar w:fldCharType="separate"/>
      </w:r>
      <w:r>
        <w:t>47</w:t>
      </w:r>
      <w:r>
        <w:fldChar w:fldCharType="end"/>
      </w:r>
      <w:r>
        <w:fldChar w:fldCharType="end"/>
      </w:r>
    </w:p>
    <w:p>
      <w:pPr>
        <w:pStyle w:val="12"/>
        <w:tabs>
          <w:tab w:val="right" w:leader="hyphen" w:pos="8312"/>
        </w:tabs>
        <w:ind w:left="960" w:hanging="480"/>
      </w:pPr>
      <w:r>
        <w:fldChar w:fldCharType="begin"/>
      </w:r>
      <w:r>
        <w:instrText xml:space="preserve"> HYPERLINK \l "_Toc28664" </w:instrText>
      </w:r>
      <w:r>
        <w:fldChar w:fldCharType="separate"/>
      </w:r>
      <w:r>
        <w:rPr>
          <w:rFonts w:hint="eastAsia" w:hAnsi="Calibri" w:cs="Times New Roman"/>
          <w:szCs w:val="18"/>
          <w:lang w:bidi="ar"/>
        </w:rPr>
        <w:t>图表</w:t>
      </w:r>
      <w:r>
        <w:t xml:space="preserve">40 </w:t>
      </w:r>
      <w:r>
        <w:rPr>
          <w:rFonts w:hint="eastAsia" w:hAnsi="Calibri" w:cs="Times New Roman"/>
          <w:szCs w:val="18"/>
          <w:lang w:bidi="ar"/>
        </w:rPr>
        <w:t>：单位网络安全事件报案情况</w:t>
      </w:r>
      <w:r>
        <w:tab/>
      </w:r>
      <w:r>
        <w:fldChar w:fldCharType="begin"/>
      </w:r>
      <w:r>
        <w:instrText xml:space="preserve"> PAGEREF _Toc28664 </w:instrText>
      </w:r>
      <w:r>
        <w:fldChar w:fldCharType="separate"/>
      </w:r>
      <w:r>
        <w:t>48</w:t>
      </w:r>
      <w:r>
        <w:fldChar w:fldCharType="end"/>
      </w:r>
      <w:r>
        <w:fldChar w:fldCharType="end"/>
      </w:r>
    </w:p>
    <w:p>
      <w:pPr>
        <w:pStyle w:val="12"/>
        <w:tabs>
          <w:tab w:val="right" w:leader="hyphen" w:pos="8312"/>
        </w:tabs>
        <w:ind w:left="960" w:hanging="480"/>
      </w:pPr>
      <w:r>
        <w:fldChar w:fldCharType="begin"/>
      </w:r>
      <w:r>
        <w:instrText xml:space="preserve"> HYPERLINK \l "_Toc5989" </w:instrText>
      </w:r>
      <w:r>
        <w:fldChar w:fldCharType="separate"/>
      </w:r>
      <w:r>
        <w:rPr>
          <w:rFonts w:hint="eastAsia" w:hAnsi="Calibri" w:cs="Times New Roman"/>
          <w:szCs w:val="18"/>
          <w:lang w:bidi="ar"/>
        </w:rPr>
        <w:t>图表</w:t>
      </w:r>
      <w:r>
        <w:t xml:space="preserve">41 </w:t>
      </w:r>
      <w:r>
        <w:rPr>
          <w:rFonts w:hint="eastAsia" w:hAnsi="Calibri" w:cs="Times New Roman"/>
          <w:szCs w:val="18"/>
          <w:lang w:bidi="ar"/>
        </w:rPr>
        <w:t>：公安机关网络安全案件受理工作评价</w:t>
      </w:r>
      <w:r>
        <w:tab/>
      </w:r>
      <w:r>
        <w:fldChar w:fldCharType="begin"/>
      </w:r>
      <w:r>
        <w:instrText xml:space="preserve"> PAGEREF _Toc5989 </w:instrText>
      </w:r>
      <w:r>
        <w:fldChar w:fldCharType="separate"/>
      </w:r>
      <w:r>
        <w:t>49</w:t>
      </w:r>
      <w:r>
        <w:fldChar w:fldCharType="end"/>
      </w:r>
      <w:r>
        <w:fldChar w:fldCharType="end"/>
      </w:r>
    </w:p>
    <w:p>
      <w:pPr>
        <w:pStyle w:val="12"/>
        <w:tabs>
          <w:tab w:val="right" w:leader="hyphen" w:pos="8312"/>
        </w:tabs>
        <w:ind w:left="960" w:hanging="480"/>
      </w:pPr>
      <w:r>
        <w:fldChar w:fldCharType="begin"/>
      </w:r>
      <w:r>
        <w:instrText xml:space="preserve"> HYPERLINK \l "_Toc22776" </w:instrText>
      </w:r>
      <w:r>
        <w:fldChar w:fldCharType="separate"/>
      </w:r>
      <w:r>
        <w:rPr>
          <w:rFonts w:hint="eastAsia" w:hAnsi="Calibri" w:cs="Times New Roman"/>
          <w:szCs w:val="18"/>
          <w:lang w:bidi="ar"/>
        </w:rPr>
        <w:t>图表</w:t>
      </w:r>
      <w:r>
        <w:t xml:space="preserve">42 </w:t>
      </w:r>
      <w:r>
        <w:rPr>
          <w:rFonts w:hint="eastAsia" w:hAnsi="Calibri" w:cs="Times New Roman"/>
          <w:szCs w:val="18"/>
          <w:lang w:bidi="ar"/>
        </w:rPr>
        <w:t>：公安机关网络安全案件受理不满意的原因</w:t>
      </w:r>
      <w:r>
        <w:tab/>
      </w:r>
      <w:r>
        <w:fldChar w:fldCharType="begin"/>
      </w:r>
      <w:r>
        <w:instrText xml:space="preserve"> PAGEREF _Toc22776 </w:instrText>
      </w:r>
      <w:r>
        <w:fldChar w:fldCharType="separate"/>
      </w:r>
      <w:r>
        <w:t>50</w:t>
      </w:r>
      <w:r>
        <w:fldChar w:fldCharType="end"/>
      </w:r>
      <w:r>
        <w:fldChar w:fldCharType="end"/>
      </w:r>
    </w:p>
    <w:p>
      <w:pPr>
        <w:pStyle w:val="12"/>
        <w:tabs>
          <w:tab w:val="right" w:leader="hyphen" w:pos="8312"/>
        </w:tabs>
        <w:ind w:left="960" w:hanging="480"/>
      </w:pPr>
      <w:r>
        <w:fldChar w:fldCharType="begin"/>
      </w:r>
      <w:r>
        <w:instrText xml:space="preserve"> HYPERLINK \l "_Toc21556" </w:instrText>
      </w:r>
      <w:r>
        <w:fldChar w:fldCharType="separate"/>
      </w:r>
      <w:r>
        <w:rPr>
          <w:rFonts w:hint="eastAsia" w:hAnsi="Calibri" w:cs="Times New Roman"/>
          <w:szCs w:val="18"/>
          <w:lang w:bidi="ar"/>
        </w:rPr>
        <w:t>图表</w:t>
      </w:r>
      <w:r>
        <w:t xml:space="preserve">43 </w:t>
      </w:r>
      <w:r>
        <w:rPr>
          <w:rFonts w:hint="eastAsia" w:hAnsi="Calibri" w:cs="Times New Roman"/>
          <w:szCs w:val="18"/>
          <w:lang w:bidi="ar"/>
        </w:rPr>
        <w:t>：对关键信息基础设施安全保护要求的认识</w:t>
      </w:r>
      <w:r>
        <w:tab/>
      </w:r>
      <w:r>
        <w:fldChar w:fldCharType="begin"/>
      </w:r>
      <w:r>
        <w:instrText xml:space="preserve"> PAGEREF _Toc21556 </w:instrText>
      </w:r>
      <w:r>
        <w:fldChar w:fldCharType="separate"/>
      </w:r>
      <w:r>
        <w:t>50</w:t>
      </w:r>
      <w:r>
        <w:fldChar w:fldCharType="end"/>
      </w:r>
      <w:r>
        <w:fldChar w:fldCharType="end"/>
      </w:r>
    </w:p>
    <w:p>
      <w:pPr>
        <w:pStyle w:val="12"/>
        <w:tabs>
          <w:tab w:val="right" w:leader="hyphen" w:pos="8312"/>
        </w:tabs>
        <w:ind w:left="960" w:hanging="480"/>
      </w:pPr>
      <w:r>
        <w:fldChar w:fldCharType="begin"/>
      </w:r>
      <w:r>
        <w:instrText xml:space="preserve"> HYPERLINK \l "_Toc23445" </w:instrText>
      </w:r>
      <w:r>
        <w:fldChar w:fldCharType="separate"/>
      </w:r>
      <w:r>
        <w:rPr>
          <w:rFonts w:hint="eastAsia" w:hAnsi="Calibri" w:cs="Times New Roman"/>
          <w:szCs w:val="18"/>
          <w:lang w:bidi="ar"/>
        </w:rPr>
        <w:t>图表</w:t>
      </w:r>
      <w:r>
        <w:t xml:space="preserve">44 </w:t>
      </w:r>
      <w:r>
        <w:rPr>
          <w:rFonts w:hint="eastAsia" w:hAnsi="Calibri" w:cs="Times New Roman"/>
          <w:szCs w:val="18"/>
          <w:lang w:bidi="ar"/>
        </w:rPr>
        <w:t>：所在单位是否定期进行网络安全检查</w:t>
      </w:r>
      <w:r>
        <w:tab/>
      </w:r>
      <w:r>
        <w:fldChar w:fldCharType="begin"/>
      </w:r>
      <w:r>
        <w:instrText xml:space="preserve"> PAGEREF _Toc23445 </w:instrText>
      </w:r>
      <w:r>
        <w:fldChar w:fldCharType="separate"/>
      </w:r>
      <w:r>
        <w:t>51</w:t>
      </w:r>
      <w:r>
        <w:fldChar w:fldCharType="end"/>
      </w:r>
      <w:r>
        <w:fldChar w:fldCharType="end"/>
      </w:r>
    </w:p>
    <w:p>
      <w:pPr>
        <w:pStyle w:val="12"/>
        <w:tabs>
          <w:tab w:val="right" w:leader="hyphen" w:pos="8312"/>
        </w:tabs>
        <w:ind w:left="960" w:hanging="480"/>
      </w:pPr>
      <w:r>
        <w:fldChar w:fldCharType="begin"/>
      </w:r>
      <w:r>
        <w:instrText xml:space="preserve"> HYPERLINK \l "_Toc25320" </w:instrText>
      </w:r>
      <w:r>
        <w:fldChar w:fldCharType="separate"/>
      </w:r>
      <w:r>
        <w:rPr>
          <w:rFonts w:hint="eastAsia" w:hAnsi="Calibri" w:cs="Times New Roman"/>
          <w:szCs w:val="21"/>
          <w:lang w:bidi="ar"/>
        </w:rPr>
        <w:t>图表</w:t>
      </w:r>
      <w:r>
        <w:t xml:space="preserve">45 </w:t>
      </w:r>
      <w:r>
        <w:rPr>
          <w:rFonts w:hint="eastAsia" w:hAnsi="Calibri" w:cs="Times New Roman"/>
          <w:szCs w:val="21"/>
          <w:lang w:bidi="ar"/>
        </w:rPr>
        <w:t>：对当前促进网络安全产品与服务发展的政策环境的评价</w:t>
      </w:r>
      <w:r>
        <w:tab/>
      </w:r>
      <w:r>
        <w:fldChar w:fldCharType="begin"/>
      </w:r>
      <w:r>
        <w:instrText xml:space="preserve"> PAGEREF _Toc25320 </w:instrText>
      </w:r>
      <w:r>
        <w:fldChar w:fldCharType="separate"/>
      </w:r>
      <w:r>
        <w:t>52</w:t>
      </w:r>
      <w:r>
        <w:fldChar w:fldCharType="end"/>
      </w:r>
      <w:r>
        <w:fldChar w:fldCharType="end"/>
      </w:r>
    </w:p>
    <w:p>
      <w:pPr>
        <w:pStyle w:val="12"/>
        <w:tabs>
          <w:tab w:val="right" w:leader="hyphen" w:pos="8312"/>
        </w:tabs>
        <w:ind w:left="960" w:hanging="480"/>
      </w:pPr>
      <w:r>
        <w:fldChar w:fldCharType="begin"/>
      </w:r>
      <w:r>
        <w:instrText xml:space="preserve"> HYPERLINK \l "_Toc5481" </w:instrText>
      </w:r>
      <w:r>
        <w:fldChar w:fldCharType="separate"/>
      </w:r>
      <w:r>
        <w:rPr>
          <w:rFonts w:hint="eastAsia" w:asciiTheme="minorEastAsia" w:hAnsiTheme="minorEastAsia" w:cstheme="minorEastAsia"/>
          <w:lang w:bidi="ar"/>
        </w:rPr>
        <w:t>图表</w:t>
      </w:r>
      <w:r>
        <w:t xml:space="preserve">46 </w:t>
      </w:r>
      <w:r>
        <w:rPr>
          <w:rFonts w:hint="eastAsia" w:asciiTheme="minorEastAsia" w:hAnsiTheme="minorEastAsia" w:cstheme="minorEastAsia"/>
          <w:lang w:bidi="ar"/>
        </w:rPr>
        <w:t>：当前网络安全行业市场的需求变化</w:t>
      </w:r>
      <w:r>
        <w:tab/>
      </w:r>
      <w:r>
        <w:fldChar w:fldCharType="begin"/>
      </w:r>
      <w:r>
        <w:instrText xml:space="preserve"> PAGEREF _Toc5481 </w:instrText>
      </w:r>
      <w:r>
        <w:fldChar w:fldCharType="separate"/>
      </w:r>
      <w:r>
        <w:t>53</w:t>
      </w:r>
      <w:r>
        <w:fldChar w:fldCharType="end"/>
      </w:r>
      <w:r>
        <w:fldChar w:fldCharType="end"/>
      </w:r>
    </w:p>
    <w:p>
      <w:pPr>
        <w:pStyle w:val="12"/>
        <w:tabs>
          <w:tab w:val="right" w:leader="hyphen" w:pos="8312"/>
        </w:tabs>
        <w:ind w:left="960" w:hanging="480"/>
      </w:pPr>
      <w:r>
        <w:fldChar w:fldCharType="begin"/>
      </w:r>
      <w:r>
        <w:instrText xml:space="preserve"> HYPERLINK \l "_Toc31229" </w:instrText>
      </w:r>
      <w:r>
        <w:fldChar w:fldCharType="separate"/>
      </w:r>
      <w:r>
        <w:rPr>
          <w:rFonts w:hint="eastAsia" w:hAnsi="Calibri" w:cs="Times New Roman"/>
          <w:szCs w:val="20"/>
          <w:lang w:bidi="ar"/>
        </w:rPr>
        <w:t>图表</w:t>
      </w:r>
      <w:r>
        <w:t xml:space="preserve">47 </w:t>
      </w:r>
      <w:r>
        <w:rPr>
          <w:rFonts w:hint="eastAsia" w:hAnsi="Calibri" w:cs="Times New Roman"/>
          <w:szCs w:val="20"/>
          <w:lang w:bidi="ar"/>
        </w:rPr>
        <w:t>：目前网络安全行业提供的网络安全保障水平评价</w:t>
      </w:r>
      <w:r>
        <w:tab/>
      </w:r>
      <w:r>
        <w:fldChar w:fldCharType="begin"/>
      </w:r>
      <w:r>
        <w:instrText xml:space="preserve"> PAGEREF _Toc31229 </w:instrText>
      </w:r>
      <w:r>
        <w:fldChar w:fldCharType="separate"/>
      </w:r>
      <w:r>
        <w:t>54</w:t>
      </w:r>
      <w:r>
        <w:fldChar w:fldCharType="end"/>
      </w:r>
      <w:r>
        <w:fldChar w:fldCharType="end"/>
      </w:r>
    </w:p>
    <w:p>
      <w:pPr>
        <w:pStyle w:val="12"/>
        <w:tabs>
          <w:tab w:val="right" w:leader="hyphen" w:pos="8312"/>
        </w:tabs>
        <w:ind w:left="960" w:hanging="480"/>
      </w:pPr>
      <w:r>
        <w:fldChar w:fldCharType="begin"/>
      </w:r>
      <w:r>
        <w:instrText xml:space="preserve"> HYPERLINK \l "_Toc32250" </w:instrText>
      </w:r>
      <w:r>
        <w:fldChar w:fldCharType="separate"/>
      </w:r>
      <w:r>
        <w:rPr>
          <w:rFonts w:hint="eastAsia" w:hAnsi="Calibri" w:cs="Times New Roman"/>
          <w:szCs w:val="20"/>
          <w:lang w:bidi="ar"/>
        </w:rPr>
        <w:t>图表</w:t>
      </w:r>
      <w:r>
        <w:t xml:space="preserve">48 </w:t>
      </w:r>
      <w:r>
        <w:rPr>
          <w:rFonts w:hint="eastAsia" w:hAnsi="Calibri" w:cs="Times New Roman"/>
          <w:szCs w:val="20"/>
          <w:lang w:bidi="ar"/>
        </w:rPr>
        <w:t>：当前信息技术产业供应链安全问题的威胁</w:t>
      </w:r>
      <w:r>
        <w:tab/>
      </w:r>
      <w:r>
        <w:fldChar w:fldCharType="begin"/>
      </w:r>
      <w:r>
        <w:instrText xml:space="preserve"> PAGEREF _Toc32250 </w:instrText>
      </w:r>
      <w:r>
        <w:fldChar w:fldCharType="separate"/>
      </w:r>
      <w:r>
        <w:t>55</w:t>
      </w:r>
      <w:r>
        <w:fldChar w:fldCharType="end"/>
      </w:r>
      <w:r>
        <w:fldChar w:fldCharType="end"/>
      </w:r>
    </w:p>
    <w:p>
      <w:pPr>
        <w:pStyle w:val="12"/>
        <w:tabs>
          <w:tab w:val="right" w:leader="hyphen" w:pos="8312"/>
        </w:tabs>
        <w:ind w:left="960" w:hanging="480"/>
      </w:pPr>
      <w:r>
        <w:fldChar w:fldCharType="begin"/>
      </w:r>
      <w:r>
        <w:instrText xml:space="preserve"> HYPERLINK \l "_Toc17234" </w:instrText>
      </w:r>
      <w:r>
        <w:fldChar w:fldCharType="separate"/>
      </w:r>
      <w:r>
        <w:rPr>
          <w:rFonts w:hint="eastAsia" w:hAnsi="Calibri" w:cs="Times New Roman"/>
          <w:szCs w:val="20"/>
          <w:lang w:bidi="ar"/>
        </w:rPr>
        <w:t>图表</w:t>
      </w:r>
      <w:r>
        <w:t xml:space="preserve">49 </w:t>
      </w:r>
      <w:r>
        <w:rPr>
          <w:rFonts w:hint="eastAsia" w:hAnsi="Calibri" w:cs="Times New Roman"/>
          <w:szCs w:val="20"/>
          <w:lang w:bidi="ar"/>
        </w:rPr>
        <w:t>：当前网络安全产品与服务的资费水平</w:t>
      </w:r>
      <w:r>
        <w:tab/>
      </w:r>
      <w:r>
        <w:fldChar w:fldCharType="begin"/>
      </w:r>
      <w:r>
        <w:instrText xml:space="preserve"> PAGEREF _Toc17234 </w:instrText>
      </w:r>
      <w:r>
        <w:fldChar w:fldCharType="separate"/>
      </w:r>
      <w:r>
        <w:t>55</w:t>
      </w:r>
      <w:r>
        <w:fldChar w:fldCharType="end"/>
      </w:r>
      <w:r>
        <w:fldChar w:fldCharType="end"/>
      </w:r>
    </w:p>
    <w:p>
      <w:pPr>
        <w:pStyle w:val="12"/>
        <w:tabs>
          <w:tab w:val="right" w:leader="hyphen" w:pos="8312"/>
        </w:tabs>
        <w:ind w:left="960" w:hanging="480"/>
      </w:pPr>
      <w:r>
        <w:fldChar w:fldCharType="begin"/>
      </w:r>
      <w:r>
        <w:instrText xml:space="preserve"> HYPERLINK \l "_Toc13616" </w:instrText>
      </w:r>
      <w:r>
        <w:fldChar w:fldCharType="separate"/>
      </w:r>
      <w:r>
        <w:rPr>
          <w:rFonts w:hint="eastAsia" w:hAnsi="Calibri" w:cs="Times New Roman"/>
          <w:lang w:bidi="ar"/>
        </w:rPr>
        <w:t>图表</w:t>
      </w:r>
      <w:r>
        <w:t xml:space="preserve">50 </w:t>
      </w:r>
      <w:r>
        <w:rPr>
          <w:rFonts w:hint="eastAsia" w:hAnsi="Calibri" w:cs="Times New Roman"/>
          <w:lang w:bidi="ar"/>
        </w:rPr>
        <w:t>：当前网络安全产品与服务存在的不足之处</w:t>
      </w:r>
      <w:r>
        <w:tab/>
      </w:r>
      <w:r>
        <w:fldChar w:fldCharType="begin"/>
      </w:r>
      <w:r>
        <w:instrText xml:space="preserve"> PAGEREF _Toc13616 </w:instrText>
      </w:r>
      <w:r>
        <w:fldChar w:fldCharType="separate"/>
      </w:r>
      <w:r>
        <w:t>56</w:t>
      </w:r>
      <w:r>
        <w:fldChar w:fldCharType="end"/>
      </w:r>
      <w:r>
        <w:fldChar w:fldCharType="end"/>
      </w:r>
    </w:p>
    <w:p>
      <w:pPr>
        <w:pStyle w:val="12"/>
        <w:tabs>
          <w:tab w:val="right" w:leader="hyphen" w:pos="8312"/>
        </w:tabs>
        <w:ind w:left="960" w:hanging="480"/>
      </w:pPr>
      <w:r>
        <w:fldChar w:fldCharType="begin"/>
      </w:r>
      <w:r>
        <w:instrText xml:space="preserve"> HYPERLINK \l "_Toc15929" </w:instrText>
      </w:r>
      <w:r>
        <w:fldChar w:fldCharType="separate"/>
      </w:r>
      <w:r>
        <w:rPr>
          <w:rFonts w:hint="eastAsia" w:hAnsi="Calibri" w:cs="Times New Roman"/>
          <w:szCs w:val="20"/>
          <w:lang w:bidi="ar"/>
        </w:rPr>
        <w:t>图表</w:t>
      </w:r>
      <w:r>
        <w:t xml:space="preserve">51 </w:t>
      </w:r>
      <w:r>
        <w:rPr>
          <w:rFonts w:hint="eastAsia" w:hAnsi="Calibri" w:cs="Times New Roman"/>
          <w:szCs w:val="20"/>
          <w:lang w:bidi="ar"/>
        </w:rPr>
        <w:t>：当前网络安全产品与服务是否应该实行等级评价管理？</w:t>
      </w:r>
      <w:r>
        <w:tab/>
      </w:r>
      <w:r>
        <w:fldChar w:fldCharType="begin"/>
      </w:r>
      <w:r>
        <w:instrText xml:space="preserve"> PAGEREF _Toc15929 </w:instrText>
      </w:r>
      <w:r>
        <w:fldChar w:fldCharType="separate"/>
      </w:r>
      <w:r>
        <w:t>56</w:t>
      </w:r>
      <w:r>
        <w:fldChar w:fldCharType="end"/>
      </w:r>
      <w:r>
        <w:fldChar w:fldCharType="end"/>
      </w:r>
    </w:p>
    <w:p>
      <w:pPr>
        <w:pStyle w:val="12"/>
        <w:tabs>
          <w:tab w:val="right" w:leader="hyphen" w:pos="8312"/>
        </w:tabs>
        <w:ind w:left="960" w:hanging="480"/>
      </w:pPr>
      <w:r>
        <w:fldChar w:fldCharType="begin"/>
      </w:r>
      <w:r>
        <w:instrText xml:space="preserve"> HYPERLINK \l "_Toc5645" </w:instrText>
      </w:r>
      <w:r>
        <w:fldChar w:fldCharType="separate"/>
      </w:r>
      <w:r>
        <w:rPr>
          <w:rFonts w:hint="eastAsia" w:hAnsi="Calibri" w:cs="Times New Roman"/>
          <w:szCs w:val="20"/>
          <w:lang w:bidi="ar"/>
        </w:rPr>
        <w:t>图表</w:t>
      </w:r>
      <w:r>
        <w:t xml:space="preserve">52 </w:t>
      </w:r>
      <w:r>
        <w:rPr>
          <w:rFonts w:hint="eastAsia" w:hAnsi="Calibri" w:cs="Times New Roman"/>
          <w:szCs w:val="20"/>
          <w:lang w:bidi="ar"/>
        </w:rPr>
        <w:t>：当前网络安全技术人才数量评价</w:t>
      </w:r>
      <w:r>
        <w:tab/>
      </w:r>
      <w:r>
        <w:fldChar w:fldCharType="begin"/>
      </w:r>
      <w:r>
        <w:instrText xml:space="preserve"> PAGEREF _Toc5645 </w:instrText>
      </w:r>
      <w:r>
        <w:fldChar w:fldCharType="separate"/>
      </w:r>
      <w:r>
        <w:t>57</w:t>
      </w:r>
      <w:r>
        <w:fldChar w:fldCharType="end"/>
      </w:r>
      <w:r>
        <w:fldChar w:fldCharType="end"/>
      </w:r>
    </w:p>
    <w:p>
      <w:pPr>
        <w:pStyle w:val="12"/>
        <w:tabs>
          <w:tab w:val="right" w:leader="hyphen" w:pos="8312"/>
        </w:tabs>
        <w:ind w:left="960" w:hanging="480"/>
      </w:pPr>
      <w:r>
        <w:fldChar w:fldCharType="begin"/>
      </w:r>
      <w:r>
        <w:instrText xml:space="preserve"> HYPERLINK \l "_Toc1994" </w:instrText>
      </w:r>
      <w:r>
        <w:fldChar w:fldCharType="separate"/>
      </w:r>
      <w:r>
        <w:rPr>
          <w:rFonts w:hint="eastAsia" w:hAnsi="Calibri" w:cs="Times New Roman"/>
          <w:szCs w:val="18"/>
          <w:lang w:bidi="ar"/>
        </w:rPr>
        <w:t>图表</w:t>
      </w:r>
      <w:r>
        <w:t xml:space="preserve">53 </w:t>
      </w:r>
      <w:r>
        <w:rPr>
          <w:rFonts w:hint="eastAsia" w:hAnsi="Calibri" w:cs="Times New Roman"/>
          <w:szCs w:val="18"/>
          <w:lang w:bidi="ar"/>
        </w:rPr>
        <w:t>：当前网络安全测评机构数量评价</w:t>
      </w:r>
      <w:r>
        <w:tab/>
      </w:r>
      <w:r>
        <w:fldChar w:fldCharType="begin"/>
      </w:r>
      <w:r>
        <w:instrText xml:space="preserve"> PAGEREF _Toc1994 </w:instrText>
      </w:r>
      <w:r>
        <w:fldChar w:fldCharType="separate"/>
      </w:r>
      <w:r>
        <w:t>58</w:t>
      </w:r>
      <w:r>
        <w:fldChar w:fldCharType="end"/>
      </w:r>
      <w:r>
        <w:fldChar w:fldCharType="end"/>
      </w:r>
    </w:p>
    <w:p>
      <w:pPr>
        <w:pStyle w:val="12"/>
        <w:tabs>
          <w:tab w:val="right" w:leader="hyphen" w:pos="8312"/>
        </w:tabs>
        <w:ind w:left="960" w:hanging="480"/>
      </w:pPr>
      <w:r>
        <w:fldChar w:fldCharType="begin"/>
      </w:r>
      <w:r>
        <w:instrText xml:space="preserve"> HYPERLINK \l "_Toc24984" </w:instrText>
      </w:r>
      <w:r>
        <w:fldChar w:fldCharType="separate"/>
      </w:r>
      <w:r>
        <w:rPr>
          <w:rFonts w:hint="eastAsia" w:hAnsi="Calibri" w:cs="Times New Roman"/>
          <w:szCs w:val="20"/>
          <w:lang w:bidi="ar"/>
        </w:rPr>
        <w:t>图表</w:t>
      </w:r>
      <w:r>
        <w:t xml:space="preserve">54 </w:t>
      </w:r>
      <w:r>
        <w:rPr>
          <w:rFonts w:hint="eastAsia" w:hAnsi="Calibri" w:cs="Times New Roman"/>
          <w:szCs w:val="20"/>
          <w:lang w:bidi="ar"/>
        </w:rPr>
        <w:t>：对测评机构提供服务的需求</w:t>
      </w:r>
      <w:r>
        <w:tab/>
      </w:r>
      <w:r>
        <w:fldChar w:fldCharType="begin"/>
      </w:r>
      <w:r>
        <w:instrText xml:space="preserve"> PAGEREF _Toc24984 </w:instrText>
      </w:r>
      <w:r>
        <w:fldChar w:fldCharType="separate"/>
      </w:r>
      <w:r>
        <w:t>58</w:t>
      </w:r>
      <w:r>
        <w:fldChar w:fldCharType="end"/>
      </w:r>
      <w:r>
        <w:fldChar w:fldCharType="end"/>
      </w:r>
    </w:p>
    <w:p>
      <w:pPr>
        <w:pStyle w:val="12"/>
        <w:tabs>
          <w:tab w:val="right" w:leader="hyphen" w:pos="8312"/>
        </w:tabs>
        <w:ind w:left="960" w:hanging="480"/>
      </w:pPr>
      <w:r>
        <w:fldChar w:fldCharType="begin"/>
      </w:r>
      <w:r>
        <w:instrText xml:space="preserve"> HYPERLINK \l "_Toc32126" </w:instrText>
      </w:r>
      <w:r>
        <w:fldChar w:fldCharType="separate"/>
      </w:r>
      <w:r>
        <w:rPr>
          <w:rFonts w:hint="eastAsia" w:hAnsi="Calibri" w:cs="Times New Roman"/>
          <w:szCs w:val="18"/>
          <w:lang w:bidi="ar"/>
        </w:rPr>
        <w:t>图表</w:t>
      </w:r>
      <w:r>
        <w:t xml:space="preserve">55 </w:t>
      </w:r>
      <w:r>
        <w:rPr>
          <w:rFonts w:hint="eastAsia" w:hAnsi="Calibri" w:cs="Times New Roman"/>
          <w:szCs w:val="18"/>
          <w:lang w:bidi="ar"/>
        </w:rPr>
        <w:t>：制约网络安全行业发展的主要障碍</w:t>
      </w:r>
      <w:r>
        <w:tab/>
      </w:r>
      <w:r>
        <w:fldChar w:fldCharType="begin"/>
      </w:r>
      <w:r>
        <w:instrText xml:space="preserve"> PAGEREF _Toc32126 </w:instrText>
      </w:r>
      <w:r>
        <w:fldChar w:fldCharType="separate"/>
      </w:r>
      <w:r>
        <w:t>59</w:t>
      </w:r>
      <w:r>
        <w:fldChar w:fldCharType="end"/>
      </w:r>
      <w:r>
        <w:fldChar w:fldCharType="end"/>
      </w:r>
    </w:p>
    <w:p>
      <w:pPr>
        <w:pStyle w:val="12"/>
        <w:tabs>
          <w:tab w:val="right" w:leader="hyphen" w:pos="8312"/>
        </w:tabs>
        <w:ind w:left="960" w:hanging="480"/>
      </w:pPr>
      <w:r>
        <w:fldChar w:fldCharType="begin"/>
      </w:r>
      <w:r>
        <w:instrText xml:space="preserve"> HYPERLINK \l "_Toc5658" </w:instrText>
      </w:r>
      <w:r>
        <w:fldChar w:fldCharType="separate"/>
      </w:r>
      <w:r>
        <w:rPr>
          <w:rFonts w:hint="eastAsia" w:hAnsi="Calibri" w:cs="Times New Roman"/>
          <w:szCs w:val="18"/>
          <w:lang w:bidi="ar"/>
        </w:rPr>
        <w:t>图表</w:t>
      </w:r>
      <w:r>
        <w:t xml:space="preserve">56 </w:t>
      </w:r>
      <w:r>
        <w:rPr>
          <w:rFonts w:hint="eastAsia" w:hAnsi="Calibri" w:cs="Times New Roman"/>
          <w:szCs w:val="18"/>
          <w:lang w:bidi="ar"/>
        </w:rPr>
        <w:t>：网络安全行业未来一年发展的趋势评价</w:t>
      </w:r>
      <w:r>
        <w:tab/>
      </w:r>
      <w:r>
        <w:fldChar w:fldCharType="begin"/>
      </w:r>
      <w:r>
        <w:instrText xml:space="preserve"> PAGEREF _Toc5658 </w:instrText>
      </w:r>
      <w:r>
        <w:fldChar w:fldCharType="separate"/>
      </w:r>
      <w:r>
        <w:t>60</w:t>
      </w:r>
      <w:r>
        <w:fldChar w:fldCharType="end"/>
      </w:r>
      <w:r>
        <w:fldChar w:fldCharType="end"/>
      </w:r>
    </w:p>
    <w:p>
      <w:pPr>
        <w:pStyle w:val="12"/>
        <w:tabs>
          <w:tab w:val="right" w:leader="hyphen" w:pos="8312"/>
        </w:tabs>
        <w:ind w:left="960" w:hanging="480"/>
      </w:pPr>
      <w:r>
        <w:fldChar w:fldCharType="begin"/>
      </w:r>
      <w:r>
        <w:instrText xml:space="preserve"> HYPERLINK \l "_Toc8791" </w:instrText>
      </w:r>
      <w:r>
        <w:fldChar w:fldCharType="separate"/>
      </w:r>
      <w:r>
        <w:rPr>
          <w:rFonts w:hint="eastAsia" w:hAnsi="Calibri" w:cs="Times New Roman"/>
          <w:szCs w:val="18"/>
          <w:lang w:bidi="ar"/>
        </w:rPr>
        <w:t>图表</w:t>
      </w:r>
      <w:r>
        <w:t xml:space="preserve">57 </w:t>
      </w:r>
      <w:r>
        <w:rPr>
          <w:rFonts w:hint="eastAsia" w:hAnsi="Calibri" w:cs="Times New Roman"/>
          <w:szCs w:val="18"/>
          <w:lang w:bidi="ar"/>
        </w:rPr>
        <w:t>：网络安全行业协会等社会组织服务情况</w:t>
      </w:r>
      <w:r>
        <w:tab/>
      </w:r>
      <w:r>
        <w:fldChar w:fldCharType="begin"/>
      </w:r>
      <w:r>
        <w:instrText xml:space="preserve"> PAGEREF _Toc8791 </w:instrText>
      </w:r>
      <w:r>
        <w:fldChar w:fldCharType="separate"/>
      </w:r>
      <w:r>
        <w:t>61</w:t>
      </w:r>
      <w:r>
        <w:fldChar w:fldCharType="end"/>
      </w:r>
      <w:r>
        <w:fldChar w:fldCharType="end"/>
      </w:r>
    </w:p>
    <w:p>
      <w:pPr>
        <w:pStyle w:val="12"/>
        <w:tabs>
          <w:tab w:val="right" w:leader="hyphen" w:pos="8312"/>
        </w:tabs>
        <w:ind w:left="960" w:hanging="480"/>
      </w:pPr>
      <w:r>
        <w:fldChar w:fldCharType="begin"/>
      </w:r>
      <w:r>
        <w:instrText xml:space="preserve"> HYPERLINK \l "_Toc29412" </w:instrText>
      </w:r>
      <w:r>
        <w:fldChar w:fldCharType="separate"/>
      </w:r>
      <w:r>
        <w:rPr>
          <w:rFonts w:hint="eastAsia" w:hAnsi="Calibri" w:cs="Times New Roman"/>
          <w:lang w:bidi="ar"/>
        </w:rPr>
        <w:t>图表</w:t>
      </w:r>
      <w:r>
        <w:t xml:space="preserve">58 </w:t>
      </w:r>
      <w:r>
        <w:rPr>
          <w:rFonts w:hint="eastAsia" w:hAnsi="Calibri" w:cs="Times New Roman"/>
          <w:lang w:bidi="ar"/>
        </w:rPr>
        <w:t>：对新技术新应用的网络安全问题的关注度</w:t>
      </w:r>
      <w:r>
        <w:tab/>
      </w:r>
      <w:r>
        <w:fldChar w:fldCharType="begin"/>
      </w:r>
      <w:r>
        <w:instrText xml:space="preserve"> PAGEREF _Toc29412 </w:instrText>
      </w:r>
      <w:r>
        <w:fldChar w:fldCharType="separate"/>
      </w:r>
      <w:r>
        <w:t>61</w:t>
      </w:r>
      <w:r>
        <w:fldChar w:fldCharType="end"/>
      </w:r>
      <w:r>
        <w:fldChar w:fldCharType="end"/>
      </w:r>
    </w:p>
    <w:p>
      <w:pPr>
        <w:pStyle w:val="12"/>
        <w:tabs>
          <w:tab w:val="right" w:leader="hyphen" w:pos="8312"/>
        </w:tabs>
        <w:ind w:left="960" w:hanging="480"/>
      </w:pPr>
      <w:r>
        <w:fldChar w:fldCharType="begin"/>
      </w:r>
      <w:r>
        <w:instrText xml:space="preserve"> HYPERLINK \l "_Toc27133" </w:instrText>
      </w:r>
      <w:r>
        <w:fldChar w:fldCharType="separate"/>
      </w:r>
      <w:r>
        <w:rPr>
          <w:rFonts w:hint="eastAsia" w:asciiTheme="minorEastAsia" w:hAnsiTheme="minorEastAsia" w:cstheme="minorEastAsia"/>
          <w:lang w:bidi="ar"/>
        </w:rPr>
        <w:t>图表</w:t>
      </w:r>
      <w:r>
        <w:t xml:space="preserve">59 </w:t>
      </w:r>
      <w:r>
        <w:rPr>
          <w:rFonts w:hint="eastAsia" w:asciiTheme="minorEastAsia" w:hAnsiTheme="minorEastAsia" w:cstheme="minorEastAsia"/>
          <w:lang w:bidi="ar"/>
        </w:rPr>
        <w:t>：从业人员5G网络使用率</w:t>
      </w:r>
      <w:r>
        <w:tab/>
      </w:r>
      <w:r>
        <w:fldChar w:fldCharType="begin"/>
      </w:r>
      <w:r>
        <w:instrText xml:space="preserve"> PAGEREF _Toc27133 </w:instrText>
      </w:r>
      <w:r>
        <w:fldChar w:fldCharType="separate"/>
      </w:r>
      <w:r>
        <w:t>62</w:t>
      </w:r>
      <w:r>
        <w:fldChar w:fldCharType="end"/>
      </w:r>
      <w:r>
        <w:fldChar w:fldCharType="end"/>
      </w:r>
    </w:p>
    <w:p>
      <w:pPr>
        <w:pStyle w:val="12"/>
        <w:tabs>
          <w:tab w:val="right" w:leader="hyphen" w:pos="8312"/>
        </w:tabs>
        <w:ind w:left="960" w:hanging="480"/>
      </w:pPr>
      <w:r>
        <w:fldChar w:fldCharType="begin"/>
      </w:r>
      <w:r>
        <w:instrText xml:space="preserve"> HYPERLINK \l "_Toc14264" </w:instrText>
      </w:r>
      <w:r>
        <w:fldChar w:fldCharType="separate"/>
      </w:r>
      <w:r>
        <w:rPr>
          <w:rFonts w:hint="eastAsia" w:asciiTheme="minorEastAsia" w:hAnsiTheme="minorEastAsia" w:cstheme="minorEastAsia"/>
          <w:lang w:bidi="ar"/>
        </w:rPr>
        <w:t>图表</w:t>
      </w:r>
      <w:r>
        <w:t xml:space="preserve">60 </w:t>
      </w:r>
      <w:r>
        <w:rPr>
          <w:rFonts w:hint="eastAsia" w:asciiTheme="minorEastAsia" w:hAnsiTheme="minorEastAsia" w:cstheme="minorEastAsia"/>
          <w:lang w:bidi="ar"/>
        </w:rPr>
        <w:t>：对5G网络使用体验的评价</w:t>
      </w:r>
      <w:r>
        <w:tab/>
      </w:r>
      <w:r>
        <w:fldChar w:fldCharType="begin"/>
      </w:r>
      <w:r>
        <w:instrText xml:space="preserve"> PAGEREF _Toc14264 </w:instrText>
      </w:r>
      <w:r>
        <w:fldChar w:fldCharType="separate"/>
      </w:r>
      <w:r>
        <w:t>63</w:t>
      </w:r>
      <w:r>
        <w:fldChar w:fldCharType="end"/>
      </w:r>
      <w:r>
        <w:fldChar w:fldCharType="end"/>
      </w:r>
    </w:p>
    <w:p>
      <w:pPr>
        <w:pStyle w:val="12"/>
        <w:tabs>
          <w:tab w:val="right" w:leader="hyphen" w:pos="8312"/>
        </w:tabs>
        <w:ind w:left="960" w:hanging="480"/>
      </w:pPr>
      <w:r>
        <w:fldChar w:fldCharType="begin"/>
      </w:r>
      <w:r>
        <w:instrText xml:space="preserve"> HYPERLINK \l "_Toc15995" </w:instrText>
      </w:r>
      <w:r>
        <w:fldChar w:fldCharType="separate"/>
      </w:r>
      <w:r>
        <w:rPr>
          <w:rFonts w:hint="eastAsia" w:hAnsi="Calibri" w:cs="Times New Roman"/>
          <w:szCs w:val="20"/>
          <w:lang w:bidi="ar"/>
        </w:rPr>
        <w:t>图表</w:t>
      </w:r>
      <w:r>
        <w:t xml:space="preserve">61 </w:t>
      </w:r>
      <w:r>
        <w:rPr>
          <w:rFonts w:hint="eastAsia" w:hAnsi="Calibri" w:cs="Times New Roman"/>
          <w:szCs w:val="20"/>
          <w:lang w:bidi="ar"/>
        </w:rPr>
        <w:t>：目前不使用5G网络的原因</w:t>
      </w:r>
      <w:r>
        <w:tab/>
      </w:r>
      <w:r>
        <w:fldChar w:fldCharType="begin"/>
      </w:r>
      <w:r>
        <w:instrText xml:space="preserve"> PAGEREF _Toc15995 </w:instrText>
      </w:r>
      <w:r>
        <w:fldChar w:fldCharType="separate"/>
      </w:r>
      <w:r>
        <w:t>63</w:t>
      </w:r>
      <w:r>
        <w:fldChar w:fldCharType="end"/>
      </w:r>
      <w:r>
        <w:fldChar w:fldCharType="end"/>
      </w:r>
    </w:p>
    <w:p>
      <w:pPr>
        <w:pStyle w:val="12"/>
        <w:tabs>
          <w:tab w:val="right" w:leader="hyphen" w:pos="8312"/>
        </w:tabs>
        <w:ind w:left="960" w:hanging="480"/>
      </w:pPr>
      <w:r>
        <w:fldChar w:fldCharType="begin"/>
      </w:r>
      <w:r>
        <w:instrText xml:space="preserve"> HYPERLINK \l "_Toc21161" </w:instrText>
      </w:r>
      <w:r>
        <w:fldChar w:fldCharType="separate"/>
      </w:r>
      <w:r>
        <w:rPr>
          <w:rFonts w:hint="eastAsia" w:hAnsi="Calibri" w:cs="Times New Roman"/>
          <w:szCs w:val="20"/>
          <w:lang w:bidi="ar"/>
        </w:rPr>
        <w:t>图表</w:t>
      </w:r>
      <w:r>
        <w:t xml:space="preserve">62 </w:t>
      </w:r>
      <w:r>
        <w:rPr>
          <w:rFonts w:hint="eastAsia" w:hAnsi="Calibri" w:cs="Times New Roman"/>
          <w:szCs w:val="20"/>
          <w:lang w:bidi="ar"/>
        </w:rPr>
        <w:t>：对5G技术的顾虑</w:t>
      </w:r>
      <w:r>
        <w:tab/>
      </w:r>
      <w:r>
        <w:fldChar w:fldCharType="begin"/>
      </w:r>
      <w:r>
        <w:instrText xml:space="preserve"> PAGEREF _Toc21161 </w:instrText>
      </w:r>
      <w:r>
        <w:fldChar w:fldCharType="separate"/>
      </w:r>
      <w:r>
        <w:t>64</w:t>
      </w:r>
      <w:r>
        <w:fldChar w:fldCharType="end"/>
      </w:r>
      <w:r>
        <w:fldChar w:fldCharType="end"/>
      </w:r>
    </w:p>
    <w:p>
      <w:pPr>
        <w:pStyle w:val="12"/>
        <w:tabs>
          <w:tab w:val="right" w:leader="hyphen" w:pos="8312"/>
        </w:tabs>
        <w:ind w:left="960" w:hanging="480"/>
      </w:pPr>
      <w:r>
        <w:fldChar w:fldCharType="begin"/>
      </w:r>
      <w:r>
        <w:instrText xml:space="preserve"> HYPERLINK \l "_Toc24724" </w:instrText>
      </w:r>
      <w:r>
        <w:fldChar w:fldCharType="separate"/>
      </w:r>
      <w:r>
        <w:rPr>
          <w:rFonts w:hint="eastAsia" w:hAnsi="Calibri" w:cs="Times New Roman"/>
          <w:szCs w:val="20"/>
          <w:lang w:bidi="ar"/>
        </w:rPr>
        <w:t>图表</w:t>
      </w:r>
      <w:r>
        <w:t xml:space="preserve">63 </w:t>
      </w:r>
      <w:r>
        <w:rPr>
          <w:rFonts w:hint="eastAsia" w:hAnsi="Calibri" w:cs="Times New Roman"/>
          <w:szCs w:val="20"/>
          <w:lang w:bidi="ar"/>
        </w:rPr>
        <w:t>：人工智能(AI)可以发挥优势的领域</w:t>
      </w:r>
      <w:r>
        <w:tab/>
      </w:r>
      <w:r>
        <w:fldChar w:fldCharType="begin"/>
      </w:r>
      <w:r>
        <w:instrText xml:space="preserve"> PAGEREF _Toc24724 </w:instrText>
      </w:r>
      <w:r>
        <w:fldChar w:fldCharType="separate"/>
      </w:r>
      <w:r>
        <w:t>65</w:t>
      </w:r>
      <w:r>
        <w:fldChar w:fldCharType="end"/>
      </w:r>
      <w:r>
        <w:fldChar w:fldCharType="end"/>
      </w:r>
    </w:p>
    <w:p>
      <w:pPr>
        <w:pStyle w:val="12"/>
        <w:tabs>
          <w:tab w:val="right" w:leader="hyphen" w:pos="8312"/>
        </w:tabs>
        <w:ind w:left="960" w:hanging="480"/>
      </w:pPr>
      <w:r>
        <w:fldChar w:fldCharType="begin"/>
      </w:r>
      <w:r>
        <w:instrText xml:space="preserve"> HYPERLINK \l "_Toc29484" </w:instrText>
      </w:r>
      <w:r>
        <w:fldChar w:fldCharType="separate"/>
      </w:r>
      <w:r>
        <w:rPr>
          <w:rFonts w:hint="eastAsia" w:hAnsi="Calibri" w:cs="Times New Roman"/>
          <w:szCs w:val="20"/>
          <w:lang w:bidi="ar"/>
        </w:rPr>
        <w:t>图表</w:t>
      </w:r>
      <w:r>
        <w:t xml:space="preserve">64 </w:t>
      </w:r>
      <w:r>
        <w:rPr>
          <w:rFonts w:hint="eastAsia" w:hAnsi="Calibri" w:cs="Times New Roman"/>
          <w:szCs w:val="20"/>
          <w:lang w:bidi="ar"/>
        </w:rPr>
        <w:t>：目前人工智能应用的发展面临的最大阻力</w:t>
      </w:r>
      <w:r>
        <w:tab/>
      </w:r>
      <w:r>
        <w:fldChar w:fldCharType="begin"/>
      </w:r>
      <w:r>
        <w:instrText xml:space="preserve"> PAGEREF _Toc29484 </w:instrText>
      </w:r>
      <w:r>
        <w:fldChar w:fldCharType="separate"/>
      </w:r>
      <w:r>
        <w:t>65</w:t>
      </w:r>
      <w:r>
        <w:fldChar w:fldCharType="end"/>
      </w:r>
      <w:r>
        <w:fldChar w:fldCharType="end"/>
      </w:r>
    </w:p>
    <w:p>
      <w:pPr>
        <w:pStyle w:val="12"/>
        <w:tabs>
          <w:tab w:val="right" w:leader="hyphen" w:pos="8312"/>
        </w:tabs>
        <w:ind w:left="960" w:hanging="480"/>
      </w:pPr>
      <w:r>
        <w:fldChar w:fldCharType="begin"/>
      </w:r>
      <w:r>
        <w:instrText xml:space="preserve"> HYPERLINK \l "_Toc10505" </w:instrText>
      </w:r>
      <w:r>
        <w:fldChar w:fldCharType="separate"/>
      </w:r>
      <w:r>
        <w:rPr>
          <w:rFonts w:hint="eastAsia" w:hAnsi="Calibri" w:cs="Times New Roman"/>
          <w:lang w:bidi="ar"/>
        </w:rPr>
        <w:t>图表</w:t>
      </w:r>
      <w:r>
        <w:t xml:space="preserve">65 </w:t>
      </w:r>
      <w:r>
        <w:rPr>
          <w:rFonts w:hint="eastAsia" w:hAnsi="Calibri" w:cs="Times New Roman"/>
          <w:lang w:bidi="ar"/>
        </w:rPr>
        <w:t>：对“AI换脸”应用等“深度伪造”为代表的新技术新应用的看法</w:t>
      </w:r>
      <w:r>
        <w:tab/>
      </w:r>
      <w:r>
        <w:fldChar w:fldCharType="begin"/>
      </w:r>
      <w:r>
        <w:instrText xml:space="preserve"> PAGEREF _Toc10505 </w:instrText>
      </w:r>
      <w:r>
        <w:fldChar w:fldCharType="separate"/>
      </w:r>
      <w:r>
        <w:t>66</w:t>
      </w:r>
      <w:r>
        <w:fldChar w:fldCharType="end"/>
      </w:r>
      <w:r>
        <w:fldChar w:fldCharType="end"/>
      </w:r>
    </w:p>
    <w:p>
      <w:pPr>
        <w:pStyle w:val="12"/>
        <w:tabs>
          <w:tab w:val="right" w:leader="hyphen" w:pos="8312"/>
        </w:tabs>
        <w:ind w:left="960" w:hanging="480"/>
      </w:pPr>
      <w:r>
        <w:fldChar w:fldCharType="begin"/>
      </w:r>
      <w:r>
        <w:instrText xml:space="preserve"> HYPERLINK \l "_Toc21170" </w:instrText>
      </w:r>
      <w:r>
        <w:fldChar w:fldCharType="separate"/>
      </w:r>
      <w:r>
        <w:rPr>
          <w:rFonts w:hint="eastAsia" w:hAnsi="Calibri" w:cs="Times New Roman"/>
          <w:szCs w:val="20"/>
          <w:lang w:bidi="ar"/>
        </w:rPr>
        <w:t>图表</w:t>
      </w:r>
      <w:r>
        <w:t xml:space="preserve">66 </w:t>
      </w:r>
      <w:r>
        <w:rPr>
          <w:rFonts w:hint="eastAsia" w:hAnsi="Calibri" w:cs="Times New Roman"/>
          <w:szCs w:val="20"/>
          <w:lang w:bidi="ar"/>
        </w:rPr>
        <w:t>：对区块链的了解程度</w:t>
      </w:r>
      <w:r>
        <w:tab/>
      </w:r>
      <w:r>
        <w:fldChar w:fldCharType="begin"/>
      </w:r>
      <w:r>
        <w:instrText xml:space="preserve"> PAGEREF _Toc21170 </w:instrText>
      </w:r>
      <w:r>
        <w:fldChar w:fldCharType="separate"/>
      </w:r>
      <w:r>
        <w:t>67</w:t>
      </w:r>
      <w:r>
        <w:fldChar w:fldCharType="end"/>
      </w:r>
      <w:r>
        <w:fldChar w:fldCharType="end"/>
      </w:r>
    </w:p>
    <w:p>
      <w:pPr>
        <w:pStyle w:val="12"/>
        <w:tabs>
          <w:tab w:val="right" w:leader="hyphen" w:pos="8312"/>
        </w:tabs>
        <w:ind w:left="960" w:hanging="480"/>
      </w:pPr>
      <w:r>
        <w:fldChar w:fldCharType="begin"/>
      </w:r>
      <w:r>
        <w:instrText xml:space="preserve"> HYPERLINK \l "_Toc3167" </w:instrText>
      </w:r>
      <w:r>
        <w:fldChar w:fldCharType="separate"/>
      </w:r>
      <w:r>
        <w:rPr>
          <w:rFonts w:hint="eastAsia" w:hAnsi="Calibri" w:cs="Times New Roman"/>
          <w:szCs w:val="20"/>
          <w:lang w:bidi="ar"/>
        </w:rPr>
        <w:t>图表</w:t>
      </w:r>
      <w:r>
        <w:t xml:space="preserve">67 </w:t>
      </w:r>
      <w:r>
        <w:rPr>
          <w:rFonts w:hint="eastAsia" w:hAnsi="Calibri" w:cs="Times New Roman"/>
          <w:szCs w:val="20"/>
          <w:lang w:bidi="ar"/>
        </w:rPr>
        <w:t>：区块链未来发展趋势的看法</w:t>
      </w:r>
      <w:r>
        <w:tab/>
      </w:r>
      <w:r>
        <w:fldChar w:fldCharType="begin"/>
      </w:r>
      <w:r>
        <w:instrText xml:space="preserve"> PAGEREF _Toc3167 </w:instrText>
      </w:r>
      <w:r>
        <w:fldChar w:fldCharType="separate"/>
      </w:r>
      <w:r>
        <w:t>68</w:t>
      </w:r>
      <w:r>
        <w:fldChar w:fldCharType="end"/>
      </w:r>
      <w:r>
        <w:fldChar w:fldCharType="end"/>
      </w:r>
    </w:p>
    <w:p>
      <w:pPr>
        <w:pStyle w:val="12"/>
        <w:tabs>
          <w:tab w:val="right" w:leader="hyphen" w:pos="8312"/>
        </w:tabs>
        <w:ind w:left="960" w:hanging="480"/>
      </w:pPr>
      <w:r>
        <w:fldChar w:fldCharType="begin"/>
      </w:r>
      <w:r>
        <w:instrText xml:space="preserve"> HYPERLINK \l "_Toc30341" </w:instrText>
      </w:r>
      <w:r>
        <w:fldChar w:fldCharType="separate"/>
      </w:r>
      <w:r>
        <w:rPr>
          <w:rFonts w:hint="eastAsia" w:hAnsi="Calibri" w:cs="Times New Roman"/>
          <w:szCs w:val="20"/>
          <w:lang w:bidi="ar"/>
        </w:rPr>
        <w:t>图表</w:t>
      </w:r>
      <w:r>
        <w:t xml:space="preserve">68 </w:t>
      </w:r>
      <w:r>
        <w:rPr>
          <w:rFonts w:hint="eastAsia" w:hAnsi="Calibri" w:cs="Times New Roman"/>
          <w:szCs w:val="20"/>
          <w:lang w:bidi="ar"/>
        </w:rPr>
        <w:t>：所在单位大数据技术应用情况</w:t>
      </w:r>
      <w:r>
        <w:tab/>
      </w:r>
      <w:r>
        <w:fldChar w:fldCharType="begin"/>
      </w:r>
      <w:r>
        <w:instrText xml:space="preserve"> PAGEREF _Toc30341 </w:instrText>
      </w:r>
      <w:r>
        <w:fldChar w:fldCharType="separate"/>
      </w:r>
      <w:r>
        <w:t>69</w:t>
      </w:r>
      <w:r>
        <w:fldChar w:fldCharType="end"/>
      </w:r>
      <w:r>
        <w:fldChar w:fldCharType="end"/>
      </w:r>
    </w:p>
    <w:p>
      <w:pPr>
        <w:pStyle w:val="12"/>
        <w:tabs>
          <w:tab w:val="right" w:leader="hyphen" w:pos="8312"/>
        </w:tabs>
        <w:ind w:left="960" w:hanging="480"/>
      </w:pPr>
      <w:r>
        <w:fldChar w:fldCharType="begin"/>
      </w:r>
      <w:r>
        <w:instrText xml:space="preserve"> HYPERLINK \l "_Toc3043" </w:instrText>
      </w:r>
      <w:r>
        <w:fldChar w:fldCharType="separate"/>
      </w:r>
      <w:r>
        <w:rPr>
          <w:rFonts w:hint="eastAsia" w:hAnsi="Calibri" w:cs="Times New Roman"/>
          <w:lang w:bidi="ar"/>
        </w:rPr>
        <w:t>图表</w:t>
      </w:r>
      <w:r>
        <w:t xml:space="preserve">69 </w:t>
      </w:r>
      <w:r>
        <w:rPr>
          <w:rFonts w:hint="eastAsia" w:hAnsi="Calibri" w:cs="Times New Roman"/>
          <w:lang w:bidi="ar"/>
        </w:rPr>
        <w:t>：目前大数据技术应用存在的问题</w:t>
      </w:r>
      <w:r>
        <w:tab/>
      </w:r>
      <w:r>
        <w:fldChar w:fldCharType="begin"/>
      </w:r>
      <w:r>
        <w:instrText xml:space="preserve"> PAGEREF _Toc3043 </w:instrText>
      </w:r>
      <w:r>
        <w:fldChar w:fldCharType="separate"/>
      </w:r>
      <w:r>
        <w:t>69</w:t>
      </w:r>
      <w:r>
        <w:fldChar w:fldCharType="end"/>
      </w:r>
      <w:r>
        <w:fldChar w:fldCharType="end"/>
      </w:r>
    </w:p>
    <w:p>
      <w:pPr>
        <w:pStyle w:val="12"/>
        <w:tabs>
          <w:tab w:val="right" w:leader="hyphen" w:pos="8312"/>
        </w:tabs>
        <w:ind w:left="960" w:hanging="480"/>
      </w:pPr>
      <w:r>
        <w:fldChar w:fldCharType="begin"/>
      </w:r>
      <w:r>
        <w:instrText xml:space="preserve"> HYPERLINK \l "_Toc18675" </w:instrText>
      </w:r>
      <w:r>
        <w:fldChar w:fldCharType="separate"/>
      </w:r>
      <w:r>
        <w:rPr>
          <w:rFonts w:hint="eastAsia" w:asciiTheme="minorEastAsia" w:hAnsiTheme="minorEastAsia" w:cstheme="minorEastAsia"/>
          <w:szCs w:val="18"/>
          <w:lang w:bidi="ar"/>
        </w:rPr>
        <w:t>图表</w:t>
      </w:r>
      <w:r>
        <w:t xml:space="preserve">70 </w:t>
      </w:r>
      <w:r>
        <w:rPr>
          <w:rFonts w:hint="eastAsia" w:asciiTheme="minorEastAsia" w:hAnsiTheme="minorEastAsia" w:cstheme="minorEastAsia"/>
          <w:szCs w:val="18"/>
          <w:lang w:bidi="ar"/>
        </w:rPr>
        <w:t>：体验过物联网应用的领域</w:t>
      </w:r>
      <w:r>
        <w:tab/>
      </w:r>
      <w:r>
        <w:fldChar w:fldCharType="begin"/>
      </w:r>
      <w:r>
        <w:instrText xml:space="preserve"> PAGEREF _Toc18675 </w:instrText>
      </w:r>
      <w:r>
        <w:fldChar w:fldCharType="separate"/>
      </w:r>
      <w:r>
        <w:t>70</w:t>
      </w:r>
      <w:r>
        <w:fldChar w:fldCharType="end"/>
      </w:r>
      <w:r>
        <w:fldChar w:fldCharType="end"/>
      </w:r>
    </w:p>
    <w:p>
      <w:pPr>
        <w:pStyle w:val="12"/>
        <w:tabs>
          <w:tab w:val="right" w:leader="hyphen" w:pos="8312"/>
        </w:tabs>
        <w:ind w:left="960" w:hanging="480"/>
      </w:pPr>
      <w:r>
        <w:fldChar w:fldCharType="begin"/>
      </w:r>
      <w:r>
        <w:instrText xml:space="preserve"> HYPERLINK \l "_Toc14316" </w:instrText>
      </w:r>
      <w:r>
        <w:fldChar w:fldCharType="separate"/>
      </w:r>
      <w:r>
        <w:rPr>
          <w:rFonts w:hint="eastAsia" w:hAnsi="Calibri" w:cs="Times New Roman"/>
          <w:szCs w:val="18"/>
          <w:lang w:bidi="ar"/>
        </w:rPr>
        <w:t>图表</w:t>
      </w:r>
      <w:r>
        <w:t xml:space="preserve">71 </w:t>
      </w:r>
      <w:r>
        <w:rPr>
          <w:rFonts w:hint="eastAsia" w:hAnsi="Calibri" w:cs="Times New Roman"/>
          <w:szCs w:val="18"/>
          <w:lang w:bidi="ar"/>
        </w:rPr>
        <w:t>：物联网安全风险</w:t>
      </w:r>
      <w:r>
        <w:tab/>
      </w:r>
      <w:r>
        <w:fldChar w:fldCharType="begin"/>
      </w:r>
      <w:r>
        <w:instrText xml:space="preserve"> PAGEREF _Toc14316 </w:instrText>
      </w:r>
      <w:r>
        <w:fldChar w:fldCharType="separate"/>
      </w:r>
      <w:r>
        <w:t>71</w:t>
      </w:r>
      <w:r>
        <w:fldChar w:fldCharType="end"/>
      </w:r>
      <w:r>
        <w:fldChar w:fldCharType="end"/>
      </w:r>
    </w:p>
    <w:p>
      <w:pPr>
        <w:pStyle w:val="12"/>
        <w:tabs>
          <w:tab w:val="right" w:leader="hyphen" w:pos="8312"/>
        </w:tabs>
        <w:ind w:left="960" w:hanging="480"/>
      </w:pPr>
      <w:r>
        <w:fldChar w:fldCharType="begin"/>
      </w:r>
      <w:r>
        <w:instrText xml:space="preserve"> HYPERLINK \l "_Toc19887" </w:instrText>
      </w:r>
      <w:r>
        <w:fldChar w:fldCharType="separate"/>
      </w:r>
      <w:r>
        <w:rPr>
          <w:rFonts w:hint="eastAsia" w:hAnsi="Calibri" w:cs="Times New Roman"/>
          <w:szCs w:val="18"/>
          <w:lang w:bidi="ar"/>
        </w:rPr>
        <w:t>图表</w:t>
      </w:r>
      <w:r>
        <w:t xml:space="preserve">72 </w:t>
      </w:r>
      <w:r>
        <w:rPr>
          <w:rFonts w:hint="eastAsia" w:hAnsi="Calibri" w:cs="Times New Roman"/>
          <w:szCs w:val="18"/>
          <w:lang w:bidi="ar"/>
        </w:rPr>
        <w:t>：数字政府和智慧城市的网络安全状况评价</w:t>
      </w:r>
      <w:r>
        <w:tab/>
      </w:r>
      <w:r>
        <w:fldChar w:fldCharType="begin"/>
      </w:r>
      <w:r>
        <w:instrText xml:space="preserve"> PAGEREF _Toc19887 </w:instrText>
      </w:r>
      <w:r>
        <w:fldChar w:fldCharType="separate"/>
      </w:r>
      <w:r>
        <w:t>72</w:t>
      </w:r>
      <w:r>
        <w:fldChar w:fldCharType="end"/>
      </w:r>
      <w:r>
        <w:fldChar w:fldCharType="end"/>
      </w:r>
    </w:p>
    <w:p>
      <w:pPr>
        <w:pStyle w:val="12"/>
        <w:tabs>
          <w:tab w:val="right" w:leader="hyphen" w:pos="8312"/>
        </w:tabs>
        <w:ind w:left="960" w:hanging="480"/>
      </w:pPr>
      <w:r>
        <w:fldChar w:fldCharType="begin"/>
      </w:r>
      <w:r>
        <w:instrText xml:space="preserve"> HYPERLINK \l "_Toc10080" </w:instrText>
      </w:r>
      <w:r>
        <w:fldChar w:fldCharType="separate"/>
      </w:r>
      <w:r>
        <w:rPr>
          <w:rFonts w:hint="eastAsia" w:hAnsi="Calibri" w:cs="Times New Roman"/>
          <w:szCs w:val="18"/>
          <w:lang w:bidi="ar"/>
        </w:rPr>
        <w:t>图表</w:t>
      </w:r>
      <w:r>
        <w:t xml:space="preserve">73 </w:t>
      </w:r>
      <w:r>
        <w:rPr>
          <w:rFonts w:hint="eastAsia" w:hAnsi="Calibri" w:cs="Times New Roman"/>
          <w:szCs w:val="18"/>
          <w:lang w:bidi="ar"/>
        </w:rPr>
        <w:t>：数字政府和智慧城市中新技术的应用效果评价</w:t>
      </w:r>
      <w:r>
        <w:tab/>
      </w:r>
      <w:r>
        <w:fldChar w:fldCharType="begin"/>
      </w:r>
      <w:r>
        <w:instrText xml:space="preserve"> PAGEREF _Toc10080 </w:instrText>
      </w:r>
      <w:r>
        <w:fldChar w:fldCharType="separate"/>
      </w:r>
      <w:r>
        <w:t>73</w:t>
      </w:r>
      <w:r>
        <w:fldChar w:fldCharType="end"/>
      </w:r>
      <w:r>
        <w:fldChar w:fldCharType="end"/>
      </w:r>
    </w:p>
    <w:p>
      <w:pPr>
        <w:pStyle w:val="12"/>
        <w:tabs>
          <w:tab w:val="right" w:leader="hyphen" w:pos="8312"/>
        </w:tabs>
        <w:ind w:left="960" w:hanging="480"/>
      </w:pPr>
      <w:r>
        <w:fldChar w:fldCharType="begin"/>
      </w:r>
      <w:r>
        <w:instrText xml:space="preserve"> HYPERLINK \l "_Toc17295" </w:instrText>
      </w:r>
      <w:r>
        <w:fldChar w:fldCharType="separate"/>
      </w:r>
      <w:r>
        <w:rPr>
          <w:rFonts w:hint="eastAsia" w:hAnsi="Calibri" w:cs="Times New Roman"/>
          <w:szCs w:val="18"/>
          <w:lang w:bidi="ar"/>
        </w:rPr>
        <w:t>图表</w:t>
      </w:r>
      <w:r>
        <w:t xml:space="preserve">74 </w:t>
      </w:r>
      <w:r>
        <w:rPr>
          <w:rFonts w:hint="eastAsia" w:hAnsi="Calibri" w:cs="Times New Roman"/>
          <w:szCs w:val="18"/>
          <w:lang w:bidi="ar"/>
        </w:rPr>
        <w:t>：加强新技术应用的网络安全保障的建议</w:t>
      </w:r>
      <w:r>
        <w:tab/>
      </w:r>
      <w:r>
        <w:fldChar w:fldCharType="begin"/>
      </w:r>
      <w:r>
        <w:instrText xml:space="preserve"> PAGEREF _Toc17295 </w:instrText>
      </w:r>
      <w:r>
        <w:fldChar w:fldCharType="separate"/>
      </w:r>
      <w:r>
        <w:t>74</w:t>
      </w:r>
      <w:r>
        <w:fldChar w:fldCharType="end"/>
      </w:r>
      <w:r>
        <w:fldChar w:fldCharType="end"/>
      </w:r>
    </w:p>
    <w:p>
      <w:pPr>
        <w:pStyle w:val="12"/>
        <w:tabs>
          <w:tab w:val="right" w:leader="hyphen" w:pos="8312"/>
        </w:tabs>
        <w:ind w:left="960" w:hanging="480"/>
      </w:pPr>
      <w:r>
        <w:fldChar w:fldCharType="begin"/>
      </w:r>
      <w:r>
        <w:instrText xml:space="preserve"> HYPERLINK \l "_Toc5817" </w:instrText>
      </w:r>
      <w:r>
        <w:fldChar w:fldCharType="separate"/>
      </w:r>
      <w:r>
        <w:rPr>
          <w:rFonts w:hint="eastAsia" w:hAnsi="Calibri" w:cs="Times New Roman"/>
          <w:szCs w:val="21"/>
          <w:lang w:bidi="ar"/>
        </w:rPr>
        <w:t>图表</w:t>
      </w:r>
      <w:r>
        <w:t xml:space="preserve">75 </w:t>
      </w:r>
      <w:r>
        <w:rPr>
          <w:rFonts w:hint="eastAsia" w:hAnsi="Calibri" w:cs="Times New Roman"/>
          <w:szCs w:val="21"/>
          <w:lang w:bidi="ar"/>
        </w:rPr>
        <w:t>：所在单位网络安全科研经费预算情况</w:t>
      </w:r>
      <w:r>
        <w:tab/>
      </w:r>
      <w:r>
        <w:fldChar w:fldCharType="begin"/>
      </w:r>
      <w:r>
        <w:instrText xml:space="preserve"> PAGEREF _Toc5817 </w:instrText>
      </w:r>
      <w:r>
        <w:fldChar w:fldCharType="separate"/>
      </w:r>
      <w:r>
        <w:t>75</w:t>
      </w:r>
      <w:r>
        <w:fldChar w:fldCharType="end"/>
      </w:r>
      <w:r>
        <w:fldChar w:fldCharType="end"/>
      </w:r>
    </w:p>
    <w:p>
      <w:pPr>
        <w:pStyle w:val="12"/>
        <w:tabs>
          <w:tab w:val="right" w:leader="hyphen" w:pos="8312"/>
        </w:tabs>
        <w:ind w:left="960" w:hanging="480"/>
      </w:pPr>
      <w:r>
        <w:fldChar w:fldCharType="begin"/>
      </w:r>
      <w:r>
        <w:instrText xml:space="preserve"> HYPERLINK \l "_Toc8111" </w:instrText>
      </w:r>
      <w:r>
        <w:fldChar w:fldCharType="separate"/>
      </w:r>
      <w:r>
        <w:rPr>
          <w:rFonts w:hint="eastAsia" w:hAnsi="Calibri" w:cs="Times New Roman"/>
          <w:szCs w:val="21"/>
          <w:lang w:bidi="ar"/>
        </w:rPr>
        <w:t>图表</w:t>
      </w:r>
      <w:r>
        <w:t xml:space="preserve">76 </w:t>
      </w:r>
      <w:r>
        <w:rPr>
          <w:rFonts w:hint="eastAsia" w:hAnsi="Calibri" w:cs="Times New Roman"/>
          <w:szCs w:val="21"/>
          <w:lang w:bidi="ar"/>
        </w:rPr>
        <w:t>：疫情冲击对本单位网络安全资金投入的影响</w:t>
      </w:r>
      <w:r>
        <w:tab/>
      </w:r>
      <w:r>
        <w:fldChar w:fldCharType="begin"/>
      </w:r>
      <w:r>
        <w:instrText xml:space="preserve"> PAGEREF _Toc8111 </w:instrText>
      </w:r>
      <w:r>
        <w:fldChar w:fldCharType="separate"/>
      </w:r>
      <w:r>
        <w:t>76</w:t>
      </w:r>
      <w:r>
        <w:fldChar w:fldCharType="end"/>
      </w:r>
      <w:r>
        <w:fldChar w:fldCharType="end"/>
      </w:r>
    </w:p>
    <w:p>
      <w:pPr>
        <w:pStyle w:val="12"/>
        <w:tabs>
          <w:tab w:val="right" w:leader="hyphen" w:pos="8312"/>
        </w:tabs>
        <w:ind w:left="960" w:hanging="480"/>
      </w:pPr>
      <w:r>
        <w:fldChar w:fldCharType="begin"/>
      </w:r>
      <w:r>
        <w:instrText xml:space="preserve"> HYPERLINK \l "_Toc29947" </w:instrText>
      </w:r>
      <w:r>
        <w:fldChar w:fldCharType="separate"/>
      </w:r>
      <w:r>
        <w:rPr>
          <w:rFonts w:hint="eastAsia" w:hAnsi="Calibri" w:cs="Times New Roman"/>
          <w:szCs w:val="21"/>
          <w:lang w:bidi="ar"/>
        </w:rPr>
        <w:t>图表</w:t>
      </w:r>
      <w:r>
        <w:t xml:space="preserve">77 </w:t>
      </w:r>
      <w:r>
        <w:rPr>
          <w:rFonts w:hint="eastAsia" w:hAnsi="Calibri" w:cs="Times New Roman"/>
          <w:szCs w:val="21"/>
          <w:lang w:bidi="ar"/>
        </w:rPr>
        <w:t>：网络安全科研课题立项和管理方面的满意度</w:t>
      </w:r>
      <w:r>
        <w:tab/>
      </w:r>
      <w:r>
        <w:fldChar w:fldCharType="begin"/>
      </w:r>
      <w:r>
        <w:instrText xml:space="preserve"> PAGEREF _Toc29947 </w:instrText>
      </w:r>
      <w:r>
        <w:fldChar w:fldCharType="separate"/>
      </w:r>
      <w:r>
        <w:t>77</w:t>
      </w:r>
      <w:r>
        <w:fldChar w:fldCharType="end"/>
      </w:r>
      <w:r>
        <w:fldChar w:fldCharType="end"/>
      </w:r>
    </w:p>
    <w:p>
      <w:pPr>
        <w:pStyle w:val="12"/>
        <w:tabs>
          <w:tab w:val="right" w:leader="hyphen" w:pos="8312"/>
        </w:tabs>
        <w:ind w:left="960" w:hanging="480"/>
      </w:pPr>
      <w:r>
        <w:fldChar w:fldCharType="begin"/>
      </w:r>
      <w:r>
        <w:instrText xml:space="preserve"> HYPERLINK \l "_Toc18246" </w:instrText>
      </w:r>
      <w:r>
        <w:fldChar w:fldCharType="separate"/>
      </w:r>
      <w:r>
        <w:rPr>
          <w:rFonts w:hint="eastAsia" w:hAnsi="Calibri" w:cs="Times New Roman"/>
          <w:szCs w:val="21"/>
          <w:lang w:bidi="ar"/>
        </w:rPr>
        <w:t>图表</w:t>
      </w:r>
      <w:r>
        <w:t xml:space="preserve">78 </w:t>
      </w:r>
      <w:r>
        <w:rPr>
          <w:rFonts w:hint="eastAsia" w:hAnsi="Calibri" w:cs="Times New Roman"/>
          <w:szCs w:val="21"/>
          <w:lang w:bidi="ar"/>
        </w:rPr>
        <w:t>：网络安全科研工作需要改善的地方</w:t>
      </w:r>
      <w:r>
        <w:tab/>
      </w:r>
      <w:r>
        <w:fldChar w:fldCharType="begin"/>
      </w:r>
      <w:r>
        <w:instrText xml:space="preserve"> PAGEREF _Toc18246 </w:instrText>
      </w:r>
      <w:r>
        <w:fldChar w:fldCharType="separate"/>
      </w:r>
      <w:r>
        <w:t>78</w:t>
      </w:r>
      <w:r>
        <w:fldChar w:fldCharType="end"/>
      </w:r>
      <w:r>
        <w:fldChar w:fldCharType="end"/>
      </w:r>
    </w:p>
    <w:p>
      <w:pPr>
        <w:pStyle w:val="12"/>
        <w:tabs>
          <w:tab w:val="right" w:leader="hyphen" w:pos="8312"/>
        </w:tabs>
        <w:ind w:left="960" w:hanging="480"/>
      </w:pPr>
      <w:r>
        <w:fldChar w:fldCharType="begin"/>
      </w:r>
      <w:r>
        <w:instrText xml:space="preserve"> HYPERLINK \l "_Toc32698" </w:instrText>
      </w:r>
      <w:r>
        <w:fldChar w:fldCharType="separate"/>
      </w:r>
      <w:r>
        <w:rPr>
          <w:rFonts w:hint="eastAsia" w:hAnsi="Calibri" w:cs="Times New Roman"/>
          <w:szCs w:val="21"/>
          <w:lang w:bidi="ar"/>
        </w:rPr>
        <w:t>图表</w:t>
      </w:r>
      <w:r>
        <w:t xml:space="preserve">79 </w:t>
      </w:r>
      <w:r>
        <w:rPr>
          <w:rFonts w:hint="eastAsia" w:hAnsi="Calibri" w:cs="Times New Roman"/>
          <w:szCs w:val="21"/>
          <w:lang w:bidi="ar"/>
        </w:rPr>
        <w:t>：网络安全方面的科研成果转化满意度评价</w:t>
      </w:r>
      <w:r>
        <w:tab/>
      </w:r>
      <w:r>
        <w:fldChar w:fldCharType="begin"/>
      </w:r>
      <w:r>
        <w:instrText xml:space="preserve"> PAGEREF _Toc32698 </w:instrText>
      </w:r>
      <w:r>
        <w:fldChar w:fldCharType="separate"/>
      </w:r>
      <w:r>
        <w:t>79</w:t>
      </w:r>
      <w:r>
        <w:fldChar w:fldCharType="end"/>
      </w:r>
      <w:r>
        <w:fldChar w:fldCharType="end"/>
      </w:r>
    </w:p>
    <w:p>
      <w:pPr>
        <w:pStyle w:val="12"/>
        <w:tabs>
          <w:tab w:val="right" w:leader="hyphen" w:pos="8312"/>
        </w:tabs>
        <w:ind w:left="960" w:hanging="480"/>
      </w:pPr>
      <w:r>
        <w:fldChar w:fldCharType="begin"/>
      </w:r>
      <w:r>
        <w:instrText xml:space="preserve"> HYPERLINK \l "_Toc16086" </w:instrText>
      </w:r>
      <w:r>
        <w:fldChar w:fldCharType="separate"/>
      </w:r>
      <w:r>
        <w:rPr>
          <w:rFonts w:hint="eastAsia" w:hAnsi="Calibri" w:cs="Times New Roman"/>
          <w:szCs w:val="21"/>
          <w:lang w:bidi="ar"/>
        </w:rPr>
        <w:t>图表</w:t>
      </w:r>
      <w:r>
        <w:t xml:space="preserve">80 </w:t>
      </w:r>
      <w:r>
        <w:rPr>
          <w:rFonts w:hint="eastAsia" w:hAnsi="Calibri" w:cs="Times New Roman"/>
          <w:szCs w:val="21"/>
          <w:lang w:bidi="ar"/>
        </w:rPr>
        <w:t>：网络安全科研成果转化感到不满意的地方</w:t>
      </w:r>
      <w:r>
        <w:tab/>
      </w:r>
      <w:r>
        <w:fldChar w:fldCharType="begin"/>
      </w:r>
      <w:r>
        <w:instrText xml:space="preserve"> PAGEREF _Toc16086 </w:instrText>
      </w:r>
      <w:r>
        <w:fldChar w:fldCharType="separate"/>
      </w:r>
      <w:r>
        <w:t>80</w:t>
      </w:r>
      <w:r>
        <w:fldChar w:fldCharType="end"/>
      </w:r>
      <w:r>
        <w:fldChar w:fldCharType="end"/>
      </w:r>
    </w:p>
    <w:p>
      <w:pPr>
        <w:pStyle w:val="12"/>
        <w:tabs>
          <w:tab w:val="right" w:leader="hyphen" w:pos="8312"/>
        </w:tabs>
        <w:ind w:left="960" w:hanging="480"/>
      </w:pPr>
      <w:r>
        <w:fldChar w:fldCharType="begin"/>
      </w:r>
      <w:r>
        <w:instrText xml:space="preserve"> HYPERLINK \l "_Toc9889" </w:instrText>
      </w:r>
      <w:r>
        <w:fldChar w:fldCharType="separate"/>
      </w:r>
      <w:r>
        <w:rPr>
          <w:rFonts w:hint="eastAsia" w:hAnsi="Calibri" w:cs="Times New Roman"/>
          <w:szCs w:val="21"/>
          <w:lang w:bidi="ar"/>
        </w:rPr>
        <w:t>图表</w:t>
      </w:r>
      <w:r>
        <w:t xml:space="preserve">81 </w:t>
      </w:r>
      <w:r>
        <w:rPr>
          <w:rFonts w:hint="eastAsia" w:hAnsi="Calibri" w:cs="Times New Roman"/>
          <w:szCs w:val="21"/>
          <w:lang w:bidi="ar"/>
        </w:rPr>
        <w:t>：所在单位有关网络安全的课程开设情况</w:t>
      </w:r>
      <w:r>
        <w:tab/>
      </w:r>
      <w:r>
        <w:fldChar w:fldCharType="begin"/>
      </w:r>
      <w:r>
        <w:instrText xml:space="preserve"> PAGEREF _Toc9889 </w:instrText>
      </w:r>
      <w:r>
        <w:fldChar w:fldCharType="separate"/>
      </w:r>
      <w:r>
        <w:t>81</w:t>
      </w:r>
      <w:r>
        <w:fldChar w:fldCharType="end"/>
      </w:r>
      <w:r>
        <w:fldChar w:fldCharType="end"/>
      </w:r>
    </w:p>
    <w:p>
      <w:pPr>
        <w:pStyle w:val="12"/>
        <w:tabs>
          <w:tab w:val="right" w:leader="hyphen" w:pos="8312"/>
        </w:tabs>
        <w:ind w:left="960" w:hanging="480"/>
      </w:pPr>
      <w:r>
        <w:fldChar w:fldCharType="begin"/>
      </w:r>
      <w:r>
        <w:instrText xml:space="preserve"> HYPERLINK \l "_Toc29588" </w:instrText>
      </w:r>
      <w:r>
        <w:fldChar w:fldCharType="separate"/>
      </w:r>
      <w:r>
        <w:rPr>
          <w:rFonts w:hint="eastAsia" w:hAnsi="Calibri" w:cs="Times New Roman"/>
          <w:szCs w:val="21"/>
          <w:lang w:bidi="ar"/>
        </w:rPr>
        <w:t>图表</w:t>
      </w:r>
      <w:r>
        <w:t xml:space="preserve">82 </w:t>
      </w:r>
      <w:r>
        <w:rPr>
          <w:rFonts w:hint="eastAsia" w:hAnsi="Calibri" w:cs="Times New Roman"/>
          <w:szCs w:val="21"/>
          <w:lang w:bidi="ar"/>
        </w:rPr>
        <w:t>：网络安全专业人才评价和队伍建设存在的问题</w:t>
      </w:r>
      <w:r>
        <w:tab/>
      </w:r>
      <w:r>
        <w:fldChar w:fldCharType="begin"/>
      </w:r>
      <w:r>
        <w:instrText xml:space="preserve"> PAGEREF _Toc29588 </w:instrText>
      </w:r>
      <w:r>
        <w:fldChar w:fldCharType="separate"/>
      </w:r>
      <w:r>
        <w:t>82</w:t>
      </w:r>
      <w:r>
        <w:fldChar w:fldCharType="end"/>
      </w:r>
      <w:r>
        <w:fldChar w:fldCharType="end"/>
      </w:r>
    </w:p>
    <w:p>
      <w:pPr>
        <w:outlineLvl w:val="0"/>
      </w:pPr>
      <w:r>
        <w:rPr>
          <w:rFonts w:hint="eastAsia" w:ascii="黑体" w:hAnsi="黑体" w:eastAsia="黑体"/>
          <w:bCs/>
          <w:kern w:val="44"/>
          <w:szCs w:val="28"/>
        </w:rPr>
        <w:fldChar w:fldCharType="end"/>
      </w:r>
      <w:r>
        <w:br w:type="page"/>
      </w:r>
      <w:bookmarkEnd w:id="42"/>
      <w:bookmarkStart w:id="44" w:name="_Toc19131745"/>
      <w:bookmarkStart w:id="45" w:name="_Toc24837692"/>
      <w:r>
        <w:rPr>
          <w:rFonts w:hint="eastAsia"/>
          <w:b/>
          <w:bCs/>
          <w:kern w:val="44"/>
          <w:sz w:val="44"/>
          <w:szCs w:val="44"/>
        </w:rPr>
        <w:t>一、前  言</w:t>
      </w:r>
      <w:bookmarkEnd w:id="43"/>
      <w:bookmarkEnd w:id="44"/>
      <w:bookmarkEnd w:id="45"/>
    </w:p>
    <w:p>
      <w:pPr>
        <w:ind w:firstLine="560"/>
        <w:rPr>
          <w:rFonts w:asciiTheme="minorEastAsia" w:hAnsiTheme="minorEastAsia" w:cstheme="minorEastAsia"/>
          <w:sz w:val="28"/>
          <w:szCs w:val="28"/>
        </w:rPr>
      </w:pPr>
      <w:bookmarkStart w:id="46" w:name="_Hlk18761907"/>
      <w:r>
        <w:rPr>
          <w:rFonts w:hint="eastAsia" w:asciiTheme="minorEastAsia" w:hAnsiTheme="minorEastAsia" w:cstheme="minorEastAsia"/>
          <w:sz w:val="28"/>
          <w:szCs w:val="28"/>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2020年6月，以</w:t>
      </w:r>
      <w:bookmarkStart w:id="47" w:name="_Hlk50904262"/>
      <w:r>
        <w:rPr>
          <w:rFonts w:hint="eastAsia" w:asciiTheme="minorEastAsia" w:hAnsiTheme="minorEastAsia" w:cstheme="minorEastAsia"/>
          <w:sz w:val="28"/>
          <w:szCs w:val="28"/>
        </w:rPr>
        <w:t>“网络安全为人民，网络安全靠人民”</w:t>
      </w:r>
      <w:bookmarkEnd w:id="47"/>
      <w:r>
        <w:rPr>
          <w:rFonts w:hint="eastAsia" w:asciiTheme="minorEastAsia" w:hAnsiTheme="minorEastAsia" w:cstheme="minorEastAsia"/>
          <w:sz w:val="28"/>
          <w:szCs w:val="28"/>
        </w:rPr>
        <w:t xml:space="preserve">为活动主题的2020网民网络安全感满意度调查活动正式启动，7月22日上午9时活动正式对外采集数据，全国各大网络平台同步开通线上采集通道，至7月31日24时结束。 </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 本次调查活动问卷收回总量为150.3168万份，其中，公众网民版</w:t>
      </w:r>
      <w:bookmarkStart w:id="48" w:name="_Hlk48137665"/>
      <w:r>
        <w:rPr>
          <w:rFonts w:hint="eastAsia" w:asciiTheme="minorEastAsia" w:hAnsiTheme="minorEastAsia" w:cstheme="minorEastAsia"/>
          <w:sz w:val="28"/>
          <w:szCs w:val="28"/>
        </w:rPr>
        <w:t>124.325</w:t>
      </w:r>
      <w:bookmarkEnd w:id="48"/>
      <w:r>
        <w:rPr>
          <w:rFonts w:hint="eastAsia" w:asciiTheme="minorEastAsia" w:hAnsiTheme="minorEastAsia" w:cstheme="minorEastAsia"/>
          <w:sz w:val="28"/>
          <w:szCs w:val="28"/>
        </w:rPr>
        <w:t>1万份，网络从业人员版25.9912万份。经过数据清洗后，有效样本数据总数为149.0304万份，其中，公众网民版123.1455万份，网络从业人员版25.8849万份。另外，调查活动还收集了网民对我国网络安全建设提出的意见和建议共16.4347万条。</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本报告是基于2020年度网民网络安全感满意度调查活动收集回来的有效问卷数据，经过整理、统计、分析后编写形成的。报告力求全面、客观地反映网民的网络安全感和满意度的感受，为有关各方提供参考。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从业人员版的调查问卷除了以共性问题为主的主问卷外，还根据内容主题的不同分为A到D共4个专题问卷，具体名称如下：</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A专题问卷：等级保护实施与企业合规专题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B专题问卷：行业发展与生态建设专题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C专题问卷：新技术应用与网络安全专题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D专题问卷：科技创新与人才培养专题。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ind w:firstLine="640"/>
        <w:rPr>
          <w:sz w:val="32"/>
          <w:szCs w:val="28"/>
        </w:rPr>
      </w:pPr>
    </w:p>
    <w:p>
      <w:pPr>
        <w:ind w:firstLine="640"/>
        <w:rPr>
          <w:sz w:val="32"/>
          <w:szCs w:val="28"/>
        </w:rPr>
      </w:pPr>
    </w:p>
    <w:bookmarkEnd w:id="46"/>
    <w:p/>
    <w:p>
      <w:pPr>
        <w:spacing w:before="240" w:beforeLines="100" w:line="240" w:lineRule="auto"/>
        <w:jc w:val="center"/>
        <w:rPr>
          <w:sz w:val="32"/>
          <w:szCs w:val="28"/>
        </w:rPr>
      </w:pPr>
      <w:r>
        <w:br w:type="page"/>
      </w:r>
    </w:p>
    <w:p>
      <w:pPr>
        <w:pStyle w:val="2"/>
        <w:ind w:left="912" w:hanging="912"/>
      </w:pPr>
      <w:bookmarkStart w:id="49" w:name="_Toc24837694"/>
      <w:bookmarkStart w:id="50" w:name="_Toc23874"/>
      <w:bookmarkStart w:id="51" w:name="_Toc26290"/>
      <w:r>
        <w:rPr>
          <w:rFonts w:hint="eastAsia"/>
        </w:rPr>
        <w:t>二、</w:t>
      </w:r>
      <w:bookmarkEnd w:id="49"/>
      <w:r>
        <w:rPr>
          <w:rFonts w:hint="eastAsia"/>
        </w:rPr>
        <w:t>主要发现</w:t>
      </w:r>
      <w:bookmarkEnd w:id="50"/>
      <w:bookmarkEnd w:id="51"/>
    </w:p>
    <w:p>
      <w:pPr>
        <w:ind w:firstLine="560"/>
        <w:rPr>
          <w:sz w:val="32"/>
          <w:szCs w:val="28"/>
        </w:rPr>
      </w:pPr>
      <w:r>
        <w:rPr>
          <w:rFonts w:hint="eastAsia" w:asciiTheme="minorEastAsia" w:hAnsiTheme="minorEastAsia" w:cstheme="minorEastAsia"/>
          <w:sz w:val="28"/>
          <w:szCs w:val="28"/>
        </w:rPr>
        <w:t>本次活动共收回郑州从业人员版网民网络安全感满意度调查问卷有</w:t>
      </w:r>
      <w:r>
        <w:rPr>
          <w:rFonts w:asciiTheme="minorEastAsia" w:hAnsiTheme="minorEastAsia" w:cstheme="minorEastAsia"/>
          <w:sz w:val="28"/>
          <w:szCs w:val="28"/>
        </w:rPr>
        <w:t>1044</w:t>
      </w:r>
      <w:r>
        <w:rPr>
          <w:rFonts w:hint="eastAsia" w:asciiTheme="minorEastAsia" w:hAnsiTheme="minorEastAsia" w:cstheme="minorEastAsia"/>
          <w:sz w:val="28"/>
          <w:szCs w:val="28"/>
        </w:rPr>
        <w:t>份，经数据清洗消除无效数据后，有</w:t>
      </w:r>
      <w:r>
        <w:rPr>
          <w:rFonts w:asciiTheme="minorEastAsia" w:hAnsiTheme="minorEastAsia" w:cstheme="minorEastAsia"/>
          <w:sz w:val="28"/>
          <w:szCs w:val="28"/>
        </w:rPr>
        <w:t>1044</w:t>
      </w:r>
      <w:r>
        <w:rPr>
          <w:rFonts w:hint="eastAsia" w:asciiTheme="minorEastAsia" w:hAnsiTheme="minorEastAsia" w:cstheme="minorEastAsia"/>
          <w:sz w:val="28"/>
          <w:szCs w:val="28"/>
        </w:rPr>
        <w:t>份问卷数据纳入统计</w:t>
      </w:r>
      <w:r>
        <w:rPr>
          <w:rFonts w:hint="eastAsia"/>
          <w:sz w:val="32"/>
          <w:szCs w:val="28"/>
        </w:rPr>
        <w:t>。</w:t>
      </w:r>
    </w:p>
    <w:p>
      <w:pPr>
        <w:pStyle w:val="3"/>
        <w:spacing w:before="156" w:after="156"/>
        <w:ind w:firstLine="562"/>
        <w:rPr>
          <w:sz w:val="28"/>
        </w:rPr>
      </w:pPr>
      <w:bookmarkStart w:id="52" w:name="_Toc26146"/>
      <w:bookmarkStart w:id="53" w:name="_Toc6573"/>
      <w:bookmarkStart w:id="54" w:name="_Toc48725376"/>
      <w:r>
        <w:rPr>
          <w:rFonts w:hint="eastAsia"/>
          <w:sz w:val="28"/>
        </w:rPr>
        <w:t>2.1从业人员网络安全感有所提升</w:t>
      </w:r>
      <w:bookmarkEnd w:id="52"/>
      <w:bookmarkEnd w:id="53"/>
      <w:bookmarkEnd w:id="54"/>
    </w:p>
    <w:p>
      <w:pPr>
        <w:ind w:firstLine="560"/>
        <w:rPr>
          <w:rFonts w:asciiTheme="minorEastAsia" w:hAnsiTheme="minorEastAsia" w:cstheme="minorEastAsia"/>
          <w:sz w:val="28"/>
        </w:rPr>
      </w:pPr>
      <w:r>
        <w:rPr>
          <w:rFonts w:hint="eastAsia" w:asciiTheme="minorEastAsia" w:hAnsiTheme="minorEastAsia" w:cstheme="minorEastAsia"/>
          <w:sz w:val="28"/>
        </w:rPr>
        <w:t>（1）从业人员网络安全感有所提升，认为网络安全（安全+非常安全）的占60.54%。</w:t>
      </w:r>
    </w:p>
    <w:p>
      <w:pPr>
        <w:ind w:firstLine="560"/>
        <w:rPr>
          <w:rFonts w:asciiTheme="minorEastAsia" w:hAnsiTheme="minorEastAsia" w:cstheme="minorEastAsia"/>
          <w:sz w:val="28"/>
        </w:rPr>
      </w:pPr>
      <w:r>
        <w:rPr>
          <w:rFonts w:hint="eastAsia" w:asciiTheme="minorEastAsia" w:hAnsiTheme="minorEastAsia" w:cstheme="minorEastAsia"/>
          <w:sz w:val="28"/>
        </w:rPr>
        <w:t>（2）从横向比较来看，从业人员安全感评价和公众网民有点区别，认为非常安全的从业人员达24.54%，比公众网民高15.43个百分点，评价一般的有32.54%，比公众网民低10.66个百分点，其它指标持平，显示从业人员对网络安全的评价较普通网民为高。</w:t>
      </w:r>
    </w:p>
    <w:p>
      <w:pPr>
        <w:pStyle w:val="3"/>
        <w:spacing w:before="156" w:after="156"/>
        <w:ind w:firstLine="562"/>
        <w:rPr>
          <w:sz w:val="28"/>
        </w:rPr>
      </w:pPr>
      <w:bookmarkStart w:id="55" w:name="_Toc19207403"/>
      <w:bookmarkStart w:id="56" w:name="_Toc27435"/>
      <w:bookmarkStart w:id="57" w:name="_Toc27453"/>
      <w:bookmarkStart w:id="58" w:name="_Toc48725377"/>
      <w:r>
        <w:rPr>
          <w:rFonts w:hint="eastAsia"/>
          <w:sz w:val="28"/>
        </w:rPr>
        <w:t>2.2</w:t>
      </w:r>
      <w:bookmarkEnd w:id="55"/>
      <w:r>
        <w:rPr>
          <w:rFonts w:hint="eastAsia"/>
          <w:sz w:val="28"/>
        </w:rPr>
        <w:t>网络安全态势严峻，供应链安全风险受到关注</w:t>
      </w:r>
      <w:bookmarkEnd w:id="56"/>
      <w:bookmarkEnd w:id="57"/>
      <w:bookmarkEnd w:id="58"/>
    </w:p>
    <w:p>
      <w:pPr>
        <w:ind w:firstLine="560"/>
        <w:rPr>
          <w:rFonts w:asciiTheme="minorEastAsia" w:hAnsiTheme="minorEastAsia" w:cstheme="minorEastAsia"/>
          <w:sz w:val="28"/>
        </w:rPr>
      </w:pPr>
      <w:r>
        <w:rPr>
          <w:rFonts w:hint="eastAsia" w:asciiTheme="minorEastAsia" w:hAnsiTheme="minorEastAsia" w:cstheme="minorEastAsia"/>
          <w:sz w:val="28"/>
        </w:rPr>
        <w:t>（3）网络安全问题和网络安全事件呈较高发生率。34.60%的从业人员在工作中最常遇到的网络安全问题是恶意程序（勒索病毒、挖矿勒索、供应链木马、蠕虫病毒、僵尸网络等），33.44%从业人员遇到安全隐患（硬件漏洞、代码漏洞、业务逻辑漏洞、弱口令、后门等），安全事件（主机受控、数据泄露、网页篡改、网络监听等）遇到率为33.25%，恶意网络资源（恶意IP地址、恶意域名、恶意URL、网络钓鱼等）遇到率为32.88%。</w:t>
      </w:r>
    </w:p>
    <w:p>
      <w:pPr>
        <w:ind w:firstLine="560"/>
        <w:rPr>
          <w:rFonts w:asciiTheme="minorEastAsia" w:hAnsiTheme="minorEastAsia" w:cstheme="minorEastAsia"/>
          <w:sz w:val="28"/>
        </w:rPr>
      </w:pPr>
      <w:r>
        <w:rPr>
          <w:rFonts w:hint="eastAsia" w:asciiTheme="minorEastAsia" w:hAnsiTheme="minorEastAsia" w:cstheme="minorEastAsia"/>
          <w:sz w:val="28"/>
        </w:rPr>
        <w:t>（4）信息技术产业供应链安全威胁受到关注，56.21%从业人员认为供应链安全威胁比较高和非常高。</w:t>
      </w:r>
    </w:p>
    <w:p>
      <w:pPr>
        <w:pStyle w:val="3"/>
        <w:spacing w:before="156" w:after="156"/>
        <w:ind w:firstLine="562"/>
        <w:rPr>
          <w:sz w:val="28"/>
        </w:rPr>
      </w:pPr>
      <w:bookmarkStart w:id="59" w:name="_Toc48725378"/>
      <w:bookmarkStart w:id="60" w:name="_Toc5796"/>
      <w:bookmarkStart w:id="61" w:name="_Toc1752"/>
      <w:r>
        <w:rPr>
          <w:rFonts w:hint="eastAsia"/>
          <w:sz w:val="28"/>
        </w:rPr>
        <w:t>2.3信息泄露、网络诈骗等问题仍比较突出，打击网络黑灰产业成为关注热点</w:t>
      </w:r>
      <w:bookmarkEnd w:id="59"/>
      <w:bookmarkEnd w:id="60"/>
      <w:bookmarkEnd w:id="61"/>
    </w:p>
    <w:p>
      <w:pPr>
        <w:ind w:firstLine="560"/>
        <w:rPr>
          <w:rFonts w:asciiTheme="minorEastAsia" w:hAnsiTheme="minorEastAsia"/>
          <w:sz w:val="28"/>
          <w:szCs w:val="28"/>
        </w:rPr>
      </w:pPr>
      <w:r>
        <w:rPr>
          <w:rFonts w:hint="eastAsia" w:asciiTheme="minorEastAsia" w:hAnsiTheme="minorEastAsia"/>
          <w:sz w:val="28"/>
          <w:szCs w:val="28"/>
        </w:rPr>
        <w:t>（5）信息泄露、网络诈骗和网络骚扰是网络安全最突出的问题。72.26%的从业人员认为网络安全最突出或亟需治理的问题是信息泄露。网络诈骗、网络骚扰分别列2、3位，关注度达59.68%和57.87%。游戏沉迷、网络谣言与诽谤、网络色情、网络赌博关注度也比较高，分别为39.38</w:t>
      </w:r>
      <w:r>
        <w:rPr>
          <w:rFonts w:asciiTheme="minorEastAsia" w:hAnsiTheme="minorEastAsia"/>
          <w:sz w:val="28"/>
          <w:szCs w:val="28"/>
        </w:rPr>
        <w:t>%</w:t>
      </w:r>
      <w:r>
        <w:rPr>
          <w:rFonts w:hint="eastAsia" w:asciiTheme="minorEastAsia" w:hAnsiTheme="minorEastAsia"/>
          <w:sz w:val="28"/>
          <w:szCs w:val="28"/>
        </w:rPr>
        <w:t>、38.98</w:t>
      </w:r>
      <w:r>
        <w:rPr>
          <w:rFonts w:asciiTheme="minorEastAsia" w:hAnsiTheme="minorEastAsia"/>
          <w:sz w:val="28"/>
          <w:szCs w:val="28"/>
        </w:rPr>
        <w:t>%、</w:t>
      </w:r>
      <w:r>
        <w:rPr>
          <w:rFonts w:hint="eastAsia" w:asciiTheme="minorEastAsia" w:hAnsiTheme="minorEastAsia"/>
          <w:sz w:val="28"/>
          <w:szCs w:val="28"/>
        </w:rPr>
        <w:t>38.61</w:t>
      </w:r>
      <w:r>
        <w:rPr>
          <w:rFonts w:asciiTheme="minorEastAsia" w:hAnsiTheme="minorEastAsia"/>
          <w:sz w:val="28"/>
          <w:szCs w:val="28"/>
        </w:rPr>
        <w:t>%</w:t>
      </w:r>
      <w:r>
        <w:rPr>
          <w:rFonts w:hint="eastAsia" w:asciiTheme="minorEastAsia" w:hAnsiTheme="minorEastAsia"/>
          <w:sz w:val="28"/>
          <w:szCs w:val="28"/>
        </w:rPr>
        <w:t>、38.47%。数据显示信息保护、打击诈骗、网络欺凌、打击涉黄涉赌等是网民主要的痛点。</w:t>
      </w:r>
    </w:p>
    <w:p>
      <w:pPr>
        <w:ind w:firstLine="420" w:firstLineChars="150"/>
        <w:rPr>
          <w:rFonts w:asciiTheme="minorEastAsia" w:hAnsiTheme="minorEastAsia"/>
          <w:sz w:val="32"/>
          <w:szCs w:val="32"/>
        </w:rPr>
      </w:pPr>
      <w:r>
        <w:rPr>
          <w:rFonts w:hint="eastAsia" w:asciiTheme="minorEastAsia" w:hAnsiTheme="minorEastAsia"/>
          <w:sz w:val="28"/>
          <w:szCs w:val="28"/>
        </w:rPr>
        <w:t>（6）打击网络黑灰产业要加强监管力度。针对“刷流量”、“网络水军”的现象屡禁不绝的原因，54.76%的从业人员认为监管力度不够，相关法律欠缺、平台管理漏洞、利益驱动则位列2、3、4位，认同度分别位50.42%、47.25%、45.89%。</w:t>
      </w:r>
    </w:p>
    <w:p>
      <w:pPr>
        <w:pStyle w:val="3"/>
        <w:spacing w:before="120" w:beforeLines="50" w:after="120" w:afterLines="50"/>
        <w:ind w:firstLine="562"/>
        <w:rPr>
          <w:sz w:val="28"/>
        </w:rPr>
      </w:pPr>
      <w:bookmarkStart w:id="62" w:name="_Toc22483"/>
      <w:bookmarkStart w:id="63" w:name="_Toc48725379"/>
      <w:bookmarkStart w:id="64" w:name="_Toc21425"/>
      <w:r>
        <w:rPr>
          <w:rFonts w:hint="eastAsia"/>
          <w:sz w:val="28"/>
        </w:rPr>
        <w:t>2.4网络安全依法治理不断完善，加强法制建设成为主要诉求</w:t>
      </w:r>
      <w:bookmarkEnd w:id="62"/>
      <w:bookmarkEnd w:id="63"/>
      <w:bookmarkEnd w:id="64"/>
    </w:p>
    <w:p>
      <w:pPr>
        <w:ind w:firstLine="280" w:firstLineChars="100"/>
        <w:rPr>
          <w:rFonts w:asciiTheme="minorEastAsia" w:hAnsiTheme="minorEastAsia"/>
          <w:sz w:val="28"/>
        </w:rPr>
      </w:pPr>
      <w:r>
        <w:rPr>
          <w:rFonts w:hint="eastAsia" w:asciiTheme="minorEastAsia" w:hAnsiTheme="minorEastAsia"/>
          <w:sz w:val="28"/>
        </w:rPr>
        <w:t>（7）网络安全法治观念得到普及，加强网络安全法制建设和加强监管力度成为共识。对于维护网络安全的最需要采取的措施方面：74.52%从业人员认为要加强网络安全法制建设，56.75%从业人员认为要强化网络安全监管，50.44%从业人员认为要贯彻落实网络安全等级保护制度。</w:t>
      </w:r>
    </w:p>
    <w:p>
      <w:pPr>
        <w:ind w:firstLine="420" w:firstLineChars="150"/>
        <w:rPr>
          <w:sz w:val="28"/>
        </w:rPr>
      </w:pPr>
      <w:r>
        <w:rPr>
          <w:rFonts w:hint="eastAsia" w:asciiTheme="minorEastAsia" w:hAnsiTheme="minorEastAsia"/>
          <w:sz w:val="28"/>
        </w:rPr>
        <w:t>（8）加强网络安全立法的主要关注点在：个人信息保护（关注度67.80%）、网络平台责任（关注度57.20%）、未成年人上网保护（关注度43.39%）。网络安全等级保护、网络违法犯罪防治、网络安全各领域监管等方面的立法关注度也比较高（关注度接近40%）</w:t>
      </w:r>
      <w:r>
        <w:rPr>
          <w:rFonts w:hint="eastAsia"/>
          <w:sz w:val="28"/>
        </w:rPr>
        <w:t>。</w:t>
      </w:r>
    </w:p>
    <w:p>
      <w:pPr>
        <w:pStyle w:val="3"/>
        <w:spacing w:before="120" w:beforeLines="50" w:after="120" w:afterLines="50"/>
        <w:ind w:firstLine="422" w:firstLineChars="150"/>
        <w:rPr>
          <w:sz w:val="28"/>
        </w:rPr>
      </w:pPr>
      <w:bookmarkStart w:id="65" w:name="_Toc48725380"/>
      <w:bookmarkStart w:id="66" w:name="_Toc7976"/>
      <w:bookmarkStart w:id="67" w:name="_Toc27868"/>
      <w:r>
        <w:rPr>
          <w:rFonts w:hint="eastAsia"/>
          <w:sz w:val="28"/>
        </w:rPr>
        <w:t>2.5网络安全监管取得成效，网络安全等级保护制度进一步落实</w:t>
      </w:r>
      <w:bookmarkEnd w:id="65"/>
      <w:bookmarkEnd w:id="66"/>
      <w:bookmarkEnd w:id="67"/>
    </w:p>
    <w:p>
      <w:pPr>
        <w:ind w:firstLine="420" w:firstLineChars="150"/>
        <w:rPr>
          <w:rFonts w:asciiTheme="minorEastAsia" w:hAnsiTheme="minorEastAsia"/>
          <w:sz w:val="28"/>
        </w:rPr>
      </w:pPr>
      <w:r>
        <w:rPr>
          <w:rFonts w:hint="eastAsia" w:asciiTheme="minorEastAsia" w:hAnsiTheme="minorEastAsia"/>
          <w:sz w:val="28"/>
        </w:rPr>
        <w:t>（9）政府有关部门加强网络安全监管取得成效，监管力度评价得到肯定。从业人员认为监管力度非常强占21.41%，认为比较强占34.84%，合起来占56.25%，超过一半。认为一般有36.97%。</w:t>
      </w:r>
    </w:p>
    <w:p>
      <w:pPr>
        <w:ind w:firstLine="420" w:firstLineChars="150"/>
        <w:rPr>
          <w:rFonts w:asciiTheme="minorEastAsia" w:hAnsiTheme="minorEastAsia"/>
          <w:sz w:val="28"/>
        </w:rPr>
      </w:pPr>
      <w:r>
        <w:rPr>
          <w:rFonts w:hint="eastAsia" w:asciiTheme="minorEastAsia" w:hAnsiTheme="minorEastAsia"/>
          <w:sz w:val="28"/>
        </w:rPr>
        <w:t>（10）网络安全等级保护制度扎实推进，行业指导推进得到落实。行业主管部门对等级保护工作的推进落实方面，74.21%的从业人员所在行业出台了具体的指导意见，其中39.55%从业人员所在行业有明确细致的指导意见，34.66%有较为简单指导意见。</w:t>
      </w:r>
    </w:p>
    <w:p>
      <w:pPr>
        <w:ind w:firstLine="420" w:firstLineChars="150"/>
        <w:rPr>
          <w:rFonts w:asciiTheme="minorEastAsia" w:hAnsiTheme="minorEastAsia"/>
          <w:sz w:val="28"/>
        </w:rPr>
      </w:pPr>
      <w:r>
        <w:rPr>
          <w:rFonts w:hint="eastAsia" w:asciiTheme="minorEastAsia" w:hAnsiTheme="minorEastAsia"/>
          <w:sz w:val="28"/>
        </w:rPr>
        <w:t>（11）对网络安全等级保护制度2.0国家标准了解方面，34.67%从业人员表示了解，43.52%从业人员表示知道等级保护，但不了解等级保护2.0，完全不了解的占21.81%。绝大部分从业人员（</w:t>
      </w:r>
      <w:r>
        <w:rPr>
          <w:rFonts w:asciiTheme="minorEastAsia" w:hAnsiTheme="minorEastAsia"/>
          <w:sz w:val="28"/>
        </w:rPr>
        <w:t>7</w:t>
      </w:r>
      <w:r>
        <w:rPr>
          <w:rFonts w:hint="eastAsia" w:asciiTheme="minorEastAsia" w:hAnsiTheme="minorEastAsia"/>
          <w:sz w:val="28"/>
        </w:rPr>
        <w:t>8.19%）对等保制度有所了解，但等级保护2.0新标准还需要进一步加强宣贯。</w:t>
      </w:r>
    </w:p>
    <w:p>
      <w:pPr>
        <w:pStyle w:val="3"/>
        <w:spacing w:before="120" w:beforeLines="50" w:after="120" w:afterLines="50"/>
        <w:ind w:firstLine="562"/>
        <w:rPr>
          <w:sz w:val="28"/>
        </w:rPr>
      </w:pPr>
      <w:bookmarkStart w:id="68" w:name="_Toc48725381"/>
      <w:bookmarkStart w:id="69" w:name="_Toc17954"/>
      <w:bookmarkStart w:id="70" w:name="_Toc26478"/>
      <w:r>
        <w:rPr>
          <w:rFonts w:hint="eastAsia"/>
          <w:sz w:val="28"/>
        </w:rPr>
        <w:t>2.6企业网络安全合规遵循有所加强，网络安全管理有所改善</w:t>
      </w:r>
      <w:bookmarkEnd w:id="68"/>
      <w:bookmarkEnd w:id="69"/>
      <w:bookmarkEnd w:id="70"/>
    </w:p>
    <w:p>
      <w:pPr>
        <w:ind w:firstLine="420" w:firstLineChars="150"/>
        <w:rPr>
          <w:rFonts w:asciiTheme="minorEastAsia" w:hAnsiTheme="minorEastAsia"/>
          <w:sz w:val="28"/>
          <w:szCs w:val="28"/>
        </w:rPr>
      </w:pPr>
      <w:r>
        <w:rPr>
          <w:rFonts w:hint="eastAsia" w:asciiTheme="minorEastAsia" w:hAnsiTheme="minorEastAsia"/>
          <w:sz w:val="28"/>
          <w:szCs w:val="28"/>
        </w:rPr>
        <w:t>（12）从业人员对企业网络安全合规要求认识有所提高，认为企业合规应遵循的法规认知度前5位分别为：1《中华人民共和国网络安全法》（85.74%）、2《计算机信息系统安全保护条例》（67.82%）、3《信息安全等级保护管理办法》（65.78%）、4《互联网信息服务管理办法》（58.53%）、5《国家安全法》（49.80%）。</w:t>
      </w:r>
    </w:p>
    <w:p>
      <w:pPr>
        <w:ind w:firstLine="420" w:firstLineChars="150"/>
        <w:rPr>
          <w:rFonts w:asciiTheme="minorEastAsia" w:hAnsiTheme="minorEastAsia"/>
          <w:sz w:val="28"/>
          <w:szCs w:val="28"/>
        </w:rPr>
      </w:pPr>
      <w:r>
        <w:rPr>
          <w:rFonts w:hint="eastAsia" w:asciiTheme="minorEastAsia" w:hAnsiTheme="minorEastAsia"/>
          <w:sz w:val="28"/>
          <w:szCs w:val="28"/>
        </w:rPr>
        <w:t>（13）企业网络安全管理措施得到进一步落实。64.</w:t>
      </w:r>
      <w:r>
        <w:rPr>
          <w:rFonts w:asciiTheme="minorEastAsia" w:hAnsiTheme="minorEastAsia"/>
          <w:sz w:val="28"/>
          <w:szCs w:val="28"/>
        </w:rPr>
        <w:t>%</w:t>
      </w:r>
      <w:r>
        <w:rPr>
          <w:rFonts w:hint="eastAsia" w:asciiTheme="minorEastAsia" w:hAnsiTheme="minorEastAsia"/>
          <w:sz w:val="28"/>
          <w:szCs w:val="28"/>
        </w:rPr>
        <w:t>从业人员所在单位设置了网络安全专门机构，72.87%从业人员所在单位落实了网络安全责任人，56.68%从业人员所在单位落实了网络安全经费预算。</w:t>
      </w:r>
      <w:r>
        <w:rPr>
          <w:rFonts w:asciiTheme="minorEastAsia" w:hAnsiTheme="minorEastAsia"/>
          <w:sz w:val="28"/>
          <w:szCs w:val="28"/>
        </w:rPr>
        <w:t>6</w:t>
      </w:r>
      <w:r>
        <w:rPr>
          <w:rFonts w:hint="eastAsia" w:asciiTheme="minorEastAsia" w:hAnsiTheme="minorEastAsia"/>
          <w:sz w:val="28"/>
          <w:szCs w:val="28"/>
        </w:rPr>
        <w:t>8.33</w:t>
      </w:r>
      <w:r>
        <w:rPr>
          <w:rFonts w:asciiTheme="minorEastAsia" w:hAnsiTheme="minorEastAsia"/>
          <w:sz w:val="28"/>
          <w:szCs w:val="28"/>
        </w:rPr>
        <w:t>%</w:t>
      </w:r>
      <w:r>
        <w:rPr>
          <w:rFonts w:hint="eastAsia" w:asciiTheme="minorEastAsia" w:hAnsiTheme="minorEastAsia"/>
          <w:sz w:val="28"/>
          <w:szCs w:val="28"/>
        </w:rPr>
        <w:t>从业人员认为单位网络安全应急预案完善或较为完善。70.77%从业人员表示所在单位有定期进行网络安全检查。总体上网络安全管理有所改善，但还有一定的提升空间。</w:t>
      </w:r>
    </w:p>
    <w:p>
      <w:pPr>
        <w:ind w:firstLine="420" w:firstLineChars="150"/>
        <w:rPr>
          <w:rFonts w:asciiTheme="minorEastAsia" w:hAnsiTheme="minorEastAsia"/>
          <w:sz w:val="28"/>
          <w:szCs w:val="28"/>
        </w:rPr>
      </w:pPr>
      <w:r>
        <w:rPr>
          <w:rFonts w:hint="eastAsia" w:asciiTheme="minorEastAsia" w:hAnsiTheme="minorEastAsia"/>
          <w:sz w:val="28"/>
          <w:szCs w:val="28"/>
        </w:rPr>
        <w:t>（14）从业人员接受过网络安全培训最多前三位是本单位组织的培训（覆盖率57.41%）、政府部门组织的培训（覆盖率35.55%）、专业机构培训（覆盖率36.86%）。但也有19.61%的从业人员从未接受过培训。</w:t>
      </w:r>
    </w:p>
    <w:p>
      <w:pPr>
        <w:ind w:firstLine="420" w:firstLineChars="150"/>
        <w:rPr>
          <w:rFonts w:asciiTheme="minorEastAsia" w:hAnsiTheme="minorEastAsia"/>
          <w:sz w:val="28"/>
          <w:szCs w:val="28"/>
        </w:rPr>
      </w:pPr>
      <w:r>
        <w:rPr>
          <w:rFonts w:hint="eastAsia" w:asciiTheme="minorEastAsia" w:hAnsiTheme="minorEastAsia"/>
          <w:sz w:val="28"/>
          <w:szCs w:val="28"/>
        </w:rPr>
        <w:t>（15）从业人员对所在单位安全管理状况满意度评价方面，74.60%从业人员表示满意或非常满意，其中44.97%从业人员表示满意，29.63%从业人员表示非常满意。</w:t>
      </w:r>
    </w:p>
    <w:p>
      <w:pPr>
        <w:pStyle w:val="3"/>
        <w:spacing w:before="156" w:after="156"/>
        <w:ind w:firstLine="562"/>
        <w:rPr>
          <w:sz w:val="28"/>
        </w:rPr>
      </w:pPr>
      <w:bookmarkStart w:id="71" w:name="_Toc19207405"/>
      <w:bookmarkStart w:id="72" w:name="_Toc48725382"/>
      <w:bookmarkStart w:id="73" w:name="_Toc14073"/>
      <w:bookmarkStart w:id="74" w:name="_Toc8234"/>
      <w:r>
        <w:rPr>
          <w:rFonts w:hint="eastAsia"/>
          <w:sz w:val="28"/>
        </w:rPr>
        <w:t>2.7</w:t>
      </w:r>
      <w:bookmarkEnd w:id="71"/>
      <w:r>
        <w:rPr>
          <w:rFonts w:hint="eastAsia"/>
          <w:sz w:val="28"/>
        </w:rPr>
        <w:t>新技术应用发展迅速，安全风险受到关注</w:t>
      </w:r>
      <w:bookmarkEnd w:id="72"/>
      <w:bookmarkEnd w:id="73"/>
      <w:bookmarkEnd w:id="74"/>
    </w:p>
    <w:p>
      <w:pPr>
        <w:ind w:firstLine="560"/>
        <w:rPr>
          <w:rFonts w:asciiTheme="minorEastAsia" w:hAnsiTheme="minorEastAsia"/>
          <w:sz w:val="28"/>
          <w:szCs w:val="28"/>
        </w:rPr>
      </w:pPr>
      <w:r>
        <w:rPr>
          <w:rFonts w:hint="eastAsia" w:asciiTheme="minorEastAsia" w:hAnsiTheme="minorEastAsia"/>
          <w:sz w:val="28"/>
          <w:szCs w:val="28"/>
        </w:rPr>
        <w:t>（16）从业人员对新技术的网络安全问题是比较关注。从关注度排列前5位为：5G移动网络（76.32%）、大数据（57.56%）、人工智能（50.65%）、物联网（36.47%）、云计算（33.79%）。</w:t>
      </w:r>
    </w:p>
    <w:p>
      <w:pPr>
        <w:ind w:firstLine="560"/>
        <w:rPr>
          <w:rFonts w:asciiTheme="minorEastAsia" w:hAnsiTheme="minorEastAsia"/>
          <w:sz w:val="28"/>
          <w:szCs w:val="28"/>
        </w:rPr>
      </w:pPr>
      <w:r>
        <w:rPr>
          <w:rFonts w:hint="eastAsia" w:asciiTheme="minorEastAsia" w:hAnsiTheme="minorEastAsia"/>
          <w:sz w:val="28"/>
          <w:szCs w:val="28"/>
        </w:rPr>
        <w:t>（17）5G网络应用安全成为行业内关注热点，从业人员对5G技术的顾虑主要有：5G比4G服务收费更高（65.08%），5G网络覆盖面小（58.41%），担心5G技术不成熟出现网络错误或卡顿（34.32%），担心5G网络不安全（26.34%）。</w:t>
      </w:r>
    </w:p>
    <w:p>
      <w:pPr>
        <w:ind w:firstLine="560"/>
        <w:rPr>
          <w:szCs w:val="22"/>
        </w:rPr>
      </w:pPr>
      <w:r>
        <w:rPr>
          <w:rFonts w:hint="eastAsia" w:asciiTheme="minorEastAsia" w:hAnsiTheme="minorEastAsia"/>
          <w:sz w:val="28"/>
          <w:szCs w:val="28"/>
        </w:rPr>
        <w:t>（18）人工智能的技术成熟度、安全隐私保护问题等是从业人员关注的重点。从业人员认为目前人工智能应用发展面临的阻力主要有：1技术有待成熟（68.95%）、2安全隐私问题有待解决（65.57%）、3应用普及难度大（52.73%）等。</w:t>
      </w:r>
    </w:p>
    <w:p>
      <w:pPr>
        <w:pStyle w:val="3"/>
        <w:spacing w:before="156" w:after="156"/>
        <w:ind w:firstLine="703" w:firstLineChars="250"/>
        <w:rPr>
          <w:sz w:val="28"/>
        </w:rPr>
      </w:pPr>
      <w:bookmarkStart w:id="75" w:name="_Toc9204"/>
      <w:bookmarkStart w:id="76" w:name="_Toc1463"/>
      <w:bookmarkStart w:id="77" w:name="_Toc19207406"/>
      <w:bookmarkStart w:id="78" w:name="_Toc48725383"/>
      <w:r>
        <w:rPr>
          <w:rFonts w:hint="eastAsia"/>
          <w:sz w:val="28"/>
        </w:rPr>
        <w:t>2.8网络安全行业进入快速发展阶段，技术研发和人才培养是关键</w:t>
      </w:r>
      <w:bookmarkEnd w:id="75"/>
      <w:bookmarkEnd w:id="76"/>
      <w:bookmarkEnd w:id="77"/>
      <w:bookmarkEnd w:id="78"/>
    </w:p>
    <w:p>
      <w:pPr>
        <w:ind w:firstLine="560"/>
        <w:rPr>
          <w:rFonts w:asciiTheme="minorEastAsia" w:hAnsiTheme="minorEastAsia"/>
          <w:sz w:val="28"/>
          <w:szCs w:val="28"/>
        </w:rPr>
      </w:pPr>
      <w:r>
        <w:rPr>
          <w:rFonts w:hint="eastAsia" w:asciiTheme="minorEastAsia" w:hAnsiTheme="minorEastAsia"/>
          <w:sz w:val="28"/>
          <w:szCs w:val="28"/>
        </w:rPr>
        <w:t>（19）网络安全产品服务需求大幅上涨，对网络产品和服务划分等级得到行业认可。行业内人员信心提高，89.39%的从业人员认为当前网络安全行业市场需求上涨。大部分（63.63%）从业人员对网络安全行业提供网络安全保障水平是比较认可的。</w:t>
      </w:r>
    </w:p>
    <w:p>
      <w:pPr>
        <w:ind w:firstLine="560"/>
        <w:rPr>
          <w:rFonts w:asciiTheme="minorEastAsia" w:hAnsiTheme="minorEastAsia"/>
          <w:sz w:val="28"/>
          <w:szCs w:val="28"/>
        </w:rPr>
      </w:pPr>
      <w:r>
        <w:rPr>
          <w:rFonts w:hint="eastAsia" w:asciiTheme="minorEastAsia" w:hAnsiTheme="minorEastAsia"/>
          <w:sz w:val="28"/>
          <w:szCs w:val="28"/>
        </w:rPr>
        <w:t>（20）网络安全科研管理有待改善，需要进一步加大研发经费和人才培养的投入。大部分（56.52%）从业人员所在单位网络安全科研经费一般或较少。网络安全领域科研工作在课题规划（关注度52.94%）、项目管理（关注度52.94%）、成果管理（关注度50%）等方面需要改善。科研成果转化方面在保障服务（关注度60%）、管理机制（关注度60%）、成果保护（40%）、政策支持（40%）等方面需要改善。在网络安全专业人才评价和队伍建设方面从业人员主要关注职称不完善、晋升渠道不畅（47.06%）、实训环境不足（44.12%）、任职资格管理不完善（36.76%）等问题。</w:t>
      </w: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sz w:val="28"/>
        </w:rPr>
      </w:pPr>
    </w:p>
    <w:p>
      <w:bookmarkStart w:id="79" w:name="_Toc22689"/>
      <w:bookmarkStart w:id="80" w:name="_Toc19207407"/>
      <w:bookmarkStart w:id="81" w:name="_Toc48725384"/>
      <w:r>
        <w:rPr>
          <w:rFonts w:hint="eastAsia"/>
        </w:rPr>
        <w:br w:type="page"/>
      </w:r>
    </w:p>
    <w:p>
      <w:pPr>
        <w:pStyle w:val="2"/>
      </w:pPr>
      <w:bookmarkStart w:id="82" w:name="_Toc32270"/>
      <w:r>
        <w:rPr>
          <w:rFonts w:hint="eastAsia"/>
        </w:rPr>
        <w:t>三、网民基本情况</w:t>
      </w:r>
      <w:bookmarkEnd w:id="79"/>
      <w:bookmarkEnd w:id="80"/>
      <w:bookmarkEnd w:id="81"/>
      <w:bookmarkEnd w:id="82"/>
    </w:p>
    <w:p>
      <w:pPr>
        <w:ind w:firstLine="560"/>
        <w:rPr>
          <w:rFonts w:asciiTheme="minorEastAsia" w:hAnsiTheme="minorEastAsia"/>
          <w:sz w:val="28"/>
          <w:szCs w:val="28"/>
        </w:rPr>
      </w:pPr>
      <w:bookmarkStart w:id="83" w:name="_Toc48725385"/>
      <w:r>
        <w:rPr>
          <w:rFonts w:hint="eastAsia" w:asciiTheme="minorEastAsia" w:hAnsiTheme="minorEastAsia"/>
          <w:sz w:val="28"/>
          <w:szCs w:val="28"/>
        </w:rPr>
        <w:t>本次问卷调查共收回郑州从业人员版网络安全感满意度调查问卷，经数据清洗消除无效数据后，共有23291份问卷数据纳入统计。</w:t>
      </w:r>
    </w:p>
    <w:p>
      <w:pPr>
        <w:ind w:firstLine="560"/>
        <w:rPr>
          <w:rFonts w:asciiTheme="minorEastAsia" w:hAnsiTheme="minorEastAsia"/>
          <w:sz w:val="28"/>
          <w:szCs w:val="28"/>
        </w:rPr>
      </w:pPr>
      <w:r>
        <w:rPr>
          <w:rFonts w:hint="eastAsia" w:asciiTheme="minorEastAsia" w:hAnsiTheme="minorEastAsia"/>
          <w:sz w:val="28"/>
          <w:szCs w:val="28"/>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郑州报告，数据统计范围涵盖郑州有效样本。</w:t>
      </w:r>
    </w:p>
    <w:p>
      <w:pPr>
        <w:pStyle w:val="3"/>
        <w:ind w:firstLine="361" w:firstLineChars="150"/>
      </w:pPr>
      <w:bookmarkStart w:id="84" w:name="_Toc22891"/>
      <w:bookmarkStart w:id="85" w:name="_Toc20803"/>
      <w:r>
        <w:rPr>
          <w:rFonts w:hint="eastAsia"/>
        </w:rPr>
        <w:t>3.1性别分布</w:t>
      </w:r>
      <w:bookmarkEnd w:id="83"/>
      <w:bookmarkEnd w:id="84"/>
      <w:bookmarkEnd w:id="85"/>
    </w:p>
    <w:p>
      <w:pPr>
        <w:ind w:firstLine="700" w:firstLineChars="250"/>
        <w:rPr>
          <w:rFonts w:asciiTheme="minorEastAsia" w:hAnsiTheme="minorEastAsia"/>
          <w:sz w:val="28"/>
          <w:szCs w:val="28"/>
        </w:rPr>
      </w:pPr>
      <w:r>
        <w:rPr>
          <w:rFonts w:hint="eastAsia" w:asciiTheme="minorEastAsia" w:hAnsiTheme="minorEastAsia"/>
          <w:sz w:val="28"/>
          <w:szCs w:val="28"/>
        </w:rPr>
        <w:t>参与本次调查的网民中男性占59%，女性网民占41%。从数据上看从业人员中男性比女性高出18个百分点。</w:t>
      </w:r>
    </w:p>
    <w:p>
      <w:pPr>
        <w:ind w:firstLine="360" w:firstLineChars="150"/>
        <w:jc w:val="center"/>
        <w:rPr>
          <w:sz w:val="28"/>
        </w:rPr>
      </w:pPr>
      <w:r>
        <w:drawing>
          <wp:inline distT="0" distB="0" distL="114300" distR="114300">
            <wp:extent cx="4237355" cy="2715895"/>
            <wp:effectExtent l="4445" t="4445" r="6350"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sz w:val="24"/>
        </w:rPr>
      </w:pPr>
      <w:bookmarkStart w:id="86" w:name="_Toc19305585"/>
      <w:bookmarkStart w:id="87" w:name="_Toc19203680"/>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w:t>
      </w:r>
      <w:r>
        <w:rPr>
          <w:sz w:val="24"/>
        </w:rPr>
        <w:fldChar w:fldCharType="end"/>
      </w:r>
      <w:bookmarkStart w:id="88" w:name="_Toc21802"/>
      <w:bookmarkStart w:id="89" w:name="_Toc25731"/>
      <w:r>
        <w:rPr>
          <w:rFonts w:hint="eastAsia"/>
          <w:sz w:val="24"/>
        </w:rPr>
        <w:t>：郑州从业人员网民性别</w:t>
      </w:r>
      <w:bookmarkEnd w:id="86"/>
      <w:bookmarkEnd w:id="87"/>
      <w:r>
        <w:rPr>
          <w:rFonts w:hint="eastAsia"/>
          <w:sz w:val="24"/>
        </w:rPr>
        <w:t>分布图</w:t>
      </w:r>
      <w:bookmarkEnd w:id="88"/>
      <w:bookmarkEnd w:id="89"/>
    </w:p>
    <w:p>
      <w:pPr>
        <w:pStyle w:val="6"/>
        <w:ind w:firstLine="360"/>
        <w:jc w:val="center"/>
      </w:pPr>
    </w:p>
    <w:p>
      <w:pPr>
        <w:pStyle w:val="3"/>
        <w:ind w:firstLine="361" w:firstLineChars="150"/>
      </w:pPr>
      <w:bookmarkStart w:id="90" w:name="_Toc9508"/>
      <w:bookmarkStart w:id="91" w:name="_Toc48725386"/>
      <w:bookmarkStart w:id="92" w:name="_Toc7632"/>
      <w:r>
        <w:rPr>
          <w:rFonts w:hint="eastAsia"/>
        </w:rPr>
        <w:t>3.2年龄分布</w:t>
      </w:r>
      <w:bookmarkEnd w:id="90"/>
      <w:bookmarkEnd w:id="91"/>
      <w:bookmarkEnd w:id="92"/>
    </w:p>
    <w:p>
      <w:pPr>
        <w:ind w:firstLine="560"/>
        <w:rPr>
          <w:rFonts w:asciiTheme="minorEastAsia" w:hAnsiTheme="minorEastAsia"/>
          <w:sz w:val="28"/>
          <w:szCs w:val="28"/>
        </w:rPr>
      </w:pPr>
      <w:r>
        <w:rPr>
          <w:rFonts w:hint="eastAsia" w:asciiTheme="minorEastAsia" w:hAnsiTheme="minorEastAsia"/>
          <w:sz w:val="28"/>
          <w:szCs w:val="28"/>
        </w:rPr>
        <w:t>网民中年轻人占大多数，其中，12岁到18岁占15.55%，19岁到24岁占20.07%，25岁到30岁占20.82%，31岁到45岁占33.14%，即30岁以下年轻人占约56.12%。45岁以下占89.86%，从业人员年龄以中青年为主，其中30岁以下年轻人占一半。</w:t>
      </w:r>
      <w:r>
        <w:rPr>
          <w:rFonts w:hint="eastAsia" w:asciiTheme="minorEastAsia" w:hAnsiTheme="minorEastAsia"/>
          <w:b/>
          <w:bCs/>
          <w:sz w:val="28"/>
          <w:szCs w:val="28"/>
        </w:rPr>
        <w:t>相较于河南数据30岁以下年轻人51.54%</w:t>
      </w:r>
      <w:r>
        <w:rPr>
          <w:rFonts w:asciiTheme="minorEastAsia" w:hAnsiTheme="minorEastAsia"/>
          <w:b/>
          <w:bCs/>
          <w:sz w:val="28"/>
          <w:szCs w:val="28"/>
        </w:rPr>
        <w:t>，略高</w:t>
      </w:r>
      <w:r>
        <w:rPr>
          <w:rFonts w:hint="eastAsia" w:asciiTheme="minorEastAsia" w:hAnsiTheme="minorEastAsia"/>
          <w:b/>
          <w:bCs/>
          <w:sz w:val="28"/>
          <w:szCs w:val="28"/>
        </w:rPr>
        <w:t>4.58个</w:t>
      </w:r>
      <w:r>
        <w:rPr>
          <w:rFonts w:asciiTheme="minorEastAsia" w:hAnsiTheme="minorEastAsia"/>
          <w:b/>
          <w:bCs/>
          <w:sz w:val="28"/>
          <w:szCs w:val="28"/>
        </w:rPr>
        <w:t>百分点</w:t>
      </w:r>
      <w:r>
        <w:rPr>
          <w:rFonts w:hint="eastAsia" w:asciiTheme="minorEastAsia" w:hAnsiTheme="minorEastAsia"/>
          <w:b/>
          <w:bCs/>
          <w:sz w:val="28"/>
          <w:szCs w:val="28"/>
        </w:rPr>
        <w:t>。</w:t>
      </w:r>
    </w:p>
    <w:p>
      <w:pPr>
        <w:ind w:firstLine="360" w:firstLineChars="150"/>
      </w:pPr>
    </w:p>
    <w:p>
      <w:pPr>
        <w:ind w:firstLine="360" w:firstLineChars="150"/>
        <w:jc w:val="center"/>
        <w:rPr>
          <w:sz w:val="28"/>
        </w:rPr>
      </w:pPr>
      <w:r>
        <w:drawing>
          <wp:inline distT="0" distB="0" distL="114300" distR="114300">
            <wp:extent cx="5273675" cy="2976880"/>
            <wp:effectExtent l="4445" t="4445" r="17780" b="952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w:t>
      </w:r>
      <w:r>
        <w:rPr>
          <w:sz w:val="24"/>
        </w:rPr>
        <w:fldChar w:fldCharType="end"/>
      </w:r>
      <w:bookmarkStart w:id="93" w:name="_Toc11242"/>
      <w:bookmarkStart w:id="94" w:name="_Toc13412"/>
      <w:r>
        <w:rPr>
          <w:rFonts w:hint="eastAsia"/>
          <w:sz w:val="24"/>
        </w:rPr>
        <w:t>：郑州从业人员网民年龄分布图</w:t>
      </w:r>
      <w:bookmarkEnd w:id="93"/>
      <w:bookmarkEnd w:id="94"/>
    </w:p>
    <w:p>
      <w:pPr>
        <w:pStyle w:val="6"/>
        <w:ind w:firstLine="360"/>
        <w:jc w:val="center"/>
      </w:pPr>
    </w:p>
    <w:p>
      <w:pPr>
        <w:pStyle w:val="6"/>
        <w:ind w:firstLine="360"/>
        <w:jc w:val="center"/>
      </w:pPr>
    </w:p>
    <w:p>
      <w:pPr>
        <w:pStyle w:val="6"/>
        <w:ind w:firstLine="360"/>
        <w:jc w:val="center"/>
      </w:pPr>
    </w:p>
    <w:p>
      <w:pPr>
        <w:pStyle w:val="3"/>
        <w:ind w:firstLine="361" w:firstLineChars="150"/>
      </w:pPr>
      <w:bookmarkStart w:id="95" w:name="_Toc21191"/>
      <w:bookmarkStart w:id="96" w:name="_Toc31346"/>
      <w:bookmarkStart w:id="97" w:name="_Toc48725387"/>
      <w:r>
        <w:rPr>
          <w:rFonts w:hint="eastAsia"/>
        </w:rPr>
        <w:t>3.3从业时间</w:t>
      </w:r>
      <w:bookmarkEnd w:id="95"/>
      <w:bookmarkEnd w:id="96"/>
      <w:bookmarkEnd w:id="97"/>
    </w:p>
    <w:p>
      <w:pPr>
        <w:ind w:firstLine="560"/>
        <w:rPr>
          <w:b/>
          <w:bCs/>
        </w:rPr>
      </w:pPr>
      <w:r>
        <w:rPr>
          <w:rFonts w:hint="eastAsia" w:asciiTheme="minorEastAsia" w:hAnsiTheme="minorEastAsia"/>
          <w:sz w:val="28"/>
          <w:szCs w:val="28"/>
        </w:rPr>
        <w:t>大部分从业人员从业时间较短，有48.73%的从业人员从业时间在1-3年，从业时间4-6年的占20.81%。</w:t>
      </w:r>
      <w:r>
        <w:rPr>
          <w:rFonts w:hint="eastAsia" w:asciiTheme="minorEastAsia" w:hAnsiTheme="minorEastAsia"/>
          <w:b/>
          <w:bCs/>
          <w:sz w:val="28"/>
          <w:szCs w:val="28"/>
        </w:rPr>
        <w:t>相较于河南数据，从业人员从业时间1-3年、4-6年、7-9年占比基本持平。</w:t>
      </w:r>
    </w:p>
    <w:p>
      <w:pPr>
        <w:pStyle w:val="6"/>
        <w:ind w:firstLine="360"/>
        <w:jc w:val="center"/>
      </w:pPr>
      <w:r>
        <w:drawing>
          <wp:inline distT="0" distB="0" distL="114300" distR="114300">
            <wp:extent cx="5198745" cy="2486660"/>
            <wp:effectExtent l="4445" t="4445" r="16510" b="2349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98" w:name="_Toc19735"/>
      <w:bookmarkStart w:id="99" w:name="_Toc7919"/>
      <w:r>
        <w:rPr>
          <w:rFonts w:hint="eastAsia"/>
          <w:sz w:val="24"/>
        </w:rPr>
        <w:t>：郑州从业人员网民从业时间分布图</w:t>
      </w:r>
      <w:bookmarkEnd w:id="98"/>
      <w:bookmarkEnd w:id="99"/>
    </w:p>
    <w:p>
      <w:pPr>
        <w:pStyle w:val="3"/>
        <w:ind w:firstLine="241" w:firstLineChars="100"/>
      </w:pPr>
      <w:bookmarkStart w:id="100" w:name="_Toc7014"/>
      <w:bookmarkStart w:id="101" w:name="_Toc27165"/>
      <w:bookmarkStart w:id="102" w:name="_Toc48725388"/>
      <w:r>
        <w:rPr>
          <w:rFonts w:hint="eastAsia"/>
        </w:rPr>
        <w:t>3.4学历分布</w:t>
      </w:r>
      <w:bookmarkEnd w:id="100"/>
      <w:bookmarkEnd w:id="101"/>
      <w:bookmarkEnd w:id="102"/>
    </w:p>
    <w:p>
      <w:pPr>
        <w:ind w:firstLine="420" w:firstLineChars="150"/>
        <w:rPr>
          <w:b/>
          <w:bCs/>
        </w:rPr>
      </w:pPr>
      <w:r>
        <w:rPr>
          <w:rFonts w:hint="eastAsia" w:asciiTheme="minorEastAsia" w:hAnsiTheme="minorEastAsia"/>
          <w:sz w:val="28"/>
          <w:szCs w:val="28"/>
        </w:rPr>
        <w:t>参与调查的从业人员中大学专科人数最多，占29%，其次是高中学历，占26%。大专以上学历占55%，在普通网民群体中受教育的程度相对不低，但在IT领域里学历水平不算高，大专等中低学历从业人员占比较高。</w:t>
      </w:r>
      <w:r>
        <w:rPr>
          <w:rFonts w:hint="eastAsia" w:asciiTheme="minorEastAsia" w:hAnsiTheme="minorEastAsia"/>
          <w:b/>
          <w:bCs/>
          <w:sz w:val="28"/>
          <w:szCs w:val="28"/>
        </w:rPr>
        <w:t>相较于河南数据51.39%大专以上学历高了3.61个百分点。</w:t>
      </w:r>
    </w:p>
    <w:p/>
    <w:p>
      <w:pPr>
        <w:rPr>
          <w:sz w:val="28"/>
        </w:rPr>
      </w:pPr>
      <w:r>
        <w:drawing>
          <wp:inline distT="0" distB="0" distL="114300" distR="114300">
            <wp:extent cx="4572000" cy="2743200"/>
            <wp:effectExtent l="4445" t="4445" r="14605" b="14605"/>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103" w:name="_Toc14522"/>
      <w:bookmarkStart w:id="104" w:name="_Toc6664"/>
      <w:r>
        <w:rPr>
          <w:rFonts w:hint="eastAsia"/>
          <w:sz w:val="24"/>
        </w:rPr>
        <w:t>：郑州从业人员学历分布图</w:t>
      </w:r>
      <w:bookmarkEnd w:id="103"/>
      <w:bookmarkEnd w:id="104"/>
    </w:p>
    <w:p>
      <w:pPr>
        <w:pStyle w:val="3"/>
        <w:ind w:firstLine="361" w:firstLineChars="150"/>
      </w:pPr>
      <w:bookmarkStart w:id="105" w:name="_Toc2909"/>
      <w:bookmarkStart w:id="106" w:name="_Toc23266"/>
      <w:bookmarkStart w:id="107" w:name="_Toc48725389"/>
      <w:r>
        <w:rPr>
          <w:rFonts w:hint="eastAsia"/>
        </w:rPr>
        <w:t>3.5工作单位</w:t>
      </w:r>
      <w:bookmarkEnd w:id="105"/>
      <w:bookmarkEnd w:id="106"/>
      <w:bookmarkEnd w:id="107"/>
    </w:p>
    <w:p>
      <w:pPr>
        <w:ind w:firstLine="560"/>
        <w:rPr>
          <w:rFonts w:asciiTheme="minorEastAsia" w:hAnsiTheme="minorEastAsia"/>
          <w:sz w:val="28"/>
          <w:szCs w:val="28"/>
        </w:rPr>
      </w:pPr>
      <w:r>
        <w:rPr>
          <w:rFonts w:hint="eastAsia" w:asciiTheme="minorEastAsia" w:hAnsiTheme="minorEastAsia"/>
          <w:sz w:val="28"/>
          <w:szCs w:val="28"/>
        </w:rPr>
        <w:t>参与调查的从业人员的工作单位以一般互联网用户和国有企事业单位最多，分别为37.88</w:t>
      </w:r>
      <w:r>
        <w:rPr>
          <w:rFonts w:asciiTheme="minorEastAsia" w:hAnsiTheme="minorEastAsia"/>
          <w:sz w:val="28"/>
          <w:szCs w:val="28"/>
        </w:rPr>
        <w:t>%</w:t>
      </w:r>
      <w:r>
        <w:rPr>
          <w:rFonts w:hint="eastAsia" w:asciiTheme="minorEastAsia" w:hAnsiTheme="minorEastAsia"/>
          <w:sz w:val="28"/>
          <w:szCs w:val="28"/>
        </w:rPr>
        <w:t>和21.90%，其次是网络服务运营商员工占18.88%，科研机构和院校占</w:t>
      </w:r>
      <w:r>
        <w:rPr>
          <w:rFonts w:asciiTheme="minorEastAsia" w:hAnsiTheme="minorEastAsia"/>
          <w:sz w:val="28"/>
          <w:szCs w:val="28"/>
        </w:rPr>
        <w:t>9.</w:t>
      </w:r>
      <w:r>
        <w:rPr>
          <w:rFonts w:hint="eastAsia" w:asciiTheme="minorEastAsia" w:hAnsiTheme="minorEastAsia"/>
          <w:sz w:val="28"/>
          <w:szCs w:val="28"/>
        </w:rPr>
        <w:t>03%，网络安全产品与服务提供商占7.03%。</w:t>
      </w:r>
      <w:r>
        <w:rPr>
          <w:rFonts w:hint="eastAsia" w:asciiTheme="minorEastAsia" w:hAnsiTheme="minorEastAsia"/>
          <w:b/>
          <w:bCs/>
          <w:sz w:val="28"/>
          <w:szCs w:val="28"/>
        </w:rPr>
        <w:t>相较于河南数据，从业人员工作单位占比排名前五位的一致。</w:t>
      </w:r>
    </w:p>
    <w:p>
      <w:pPr>
        <w:ind w:firstLine="560"/>
        <w:rPr>
          <w:rFonts w:asciiTheme="minorEastAsia" w:hAnsiTheme="minorEastAsia"/>
          <w:sz w:val="28"/>
          <w:szCs w:val="28"/>
        </w:rPr>
      </w:pPr>
    </w:p>
    <w:p>
      <w:pPr>
        <w:rPr>
          <w:sz w:val="28"/>
        </w:rPr>
      </w:pPr>
      <w:r>
        <w:drawing>
          <wp:inline distT="0" distB="0" distL="114300" distR="114300">
            <wp:extent cx="4883785" cy="3333750"/>
            <wp:effectExtent l="4445" t="4445" r="7620" b="14605"/>
            <wp:docPr id="2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108" w:name="_Toc19984"/>
      <w:bookmarkStart w:id="109" w:name="_Toc15836"/>
      <w:r>
        <w:rPr>
          <w:rFonts w:hint="eastAsia"/>
          <w:sz w:val="24"/>
        </w:rPr>
        <w:t>：郑州</w:t>
      </w:r>
      <w:r>
        <w:rPr>
          <w:sz w:val="24"/>
        </w:rPr>
        <w:t>从业人员工作单位分布占比</w:t>
      </w:r>
      <w:bookmarkEnd w:id="108"/>
      <w:bookmarkEnd w:id="109"/>
    </w:p>
    <w:p>
      <w:pPr>
        <w:pStyle w:val="6"/>
        <w:jc w:val="center"/>
        <w:rPr>
          <w:sz w:val="24"/>
        </w:rPr>
      </w:pPr>
    </w:p>
    <w:p>
      <w:pPr>
        <w:pStyle w:val="2"/>
      </w:pPr>
      <w:bookmarkStart w:id="110" w:name="_Toc19207410"/>
      <w:bookmarkStart w:id="111" w:name="_Toc5126"/>
      <w:bookmarkStart w:id="112" w:name="_Toc48725391"/>
      <w:bookmarkStart w:id="113" w:name="_Toc26255"/>
      <w:r>
        <w:rPr>
          <w:rFonts w:hint="eastAsia"/>
        </w:rPr>
        <w:t>四、网络安全</w:t>
      </w:r>
      <w:bookmarkEnd w:id="110"/>
      <w:r>
        <w:rPr>
          <w:rFonts w:hint="eastAsia"/>
        </w:rPr>
        <w:t>共性问题</w:t>
      </w:r>
      <w:bookmarkEnd w:id="111"/>
      <w:bookmarkEnd w:id="112"/>
      <w:bookmarkEnd w:id="113"/>
    </w:p>
    <w:p>
      <w:pPr>
        <w:pStyle w:val="3"/>
        <w:ind w:firstLine="361" w:firstLineChars="150"/>
      </w:pPr>
      <w:bookmarkStart w:id="114" w:name="_Toc19207411"/>
      <w:bookmarkStart w:id="115" w:name="_Toc48725392"/>
      <w:bookmarkStart w:id="116" w:name="_Toc3651"/>
      <w:bookmarkStart w:id="117" w:name="_Toc4504"/>
      <w:r>
        <w:rPr>
          <w:rFonts w:hint="eastAsia"/>
        </w:rPr>
        <w:t>4.1安全感总体</w:t>
      </w:r>
      <w:bookmarkEnd w:id="114"/>
      <w:r>
        <w:rPr>
          <w:rFonts w:hint="eastAsia"/>
        </w:rPr>
        <w:t>感受</w:t>
      </w:r>
      <w:bookmarkEnd w:id="115"/>
      <w:bookmarkEnd w:id="116"/>
      <w:bookmarkEnd w:id="117"/>
    </w:p>
    <w:p>
      <w:pPr>
        <w:ind w:firstLine="420" w:firstLineChars="150"/>
        <w:outlineLvl w:val="2"/>
        <w:rPr>
          <w:rFonts w:asciiTheme="minorEastAsia" w:hAnsiTheme="minorEastAsia"/>
          <w:sz w:val="28"/>
          <w:szCs w:val="28"/>
        </w:rPr>
      </w:pPr>
      <w:r>
        <w:rPr>
          <w:rFonts w:hint="eastAsia" w:asciiTheme="minorEastAsia" w:hAnsiTheme="minorEastAsia"/>
          <w:sz w:val="28"/>
          <w:szCs w:val="28"/>
        </w:rPr>
        <w:t>（1）2020年从业人员网民网络安全感评价</w:t>
      </w:r>
    </w:p>
    <w:p>
      <w:pPr>
        <w:ind w:firstLine="560"/>
        <w:rPr>
          <w:rFonts w:asciiTheme="minorEastAsia" w:hAnsiTheme="minorEastAsia"/>
          <w:sz w:val="28"/>
          <w:szCs w:val="28"/>
        </w:rPr>
      </w:pPr>
      <w:r>
        <w:rPr>
          <w:rFonts w:hint="eastAsia" w:asciiTheme="minorEastAsia" w:hAnsiTheme="minorEastAsia"/>
          <w:sz w:val="28"/>
          <w:szCs w:val="28"/>
        </w:rPr>
        <w:t>超过六成的网民对使用网络时的总体安全感觉是安全或非常安全的。其中感到安全占39.19%，非常安全占21.54%，两者相加占60.73%。评价一般的占32.52%，持中间的评价占第二位，显示有超过三分之一的网民对网络安全持保留态度。在负面评价方面，持不安全评价的占5.23%，非常不安全的评价占1.52%，两者相加，持不安全评价或非常不安全评价的占6.75%。</w:t>
      </w:r>
    </w:p>
    <w:p>
      <w:pPr>
        <w:ind w:firstLine="360" w:firstLineChars="150"/>
        <w:jc w:val="center"/>
        <w:rPr>
          <w:sz w:val="28"/>
        </w:rPr>
      </w:pPr>
      <w:r>
        <w:drawing>
          <wp:inline distT="0" distB="0" distL="114300" distR="114300">
            <wp:extent cx="4942840" cy="2819400"/>
            <wp:effectExtent l="4445" t="4445" r="5715" b="14605"/>
            <wp:docPr id="3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360" w:firstLineChars="150"/>
        <w:jc w:val="center"/>
        <w:rPr>
          <w:rFonts w:ascii="宋体" w:eastAsia="宋体"/>
        </w:rPr>
      </w:pPr>
      <w:r>
        <w:rPr>
          <w:rFonts w:hint="eastAsia" w:ascii="宋体" w:eastAsia="宋体"/>
        </w:rPr>
        <w:t>图表</w:t>
      </w:r>
      <w:r>
        <w:fldChar w:fldCharType="begin"/>
      </w:r>
      <w:r>
        <w:instrText xml:space="preserve"> </w:instrText>
      </w:r>
      <w:r>
        <w:rPr>
          <w:rFonts w:hint="eastAsia"/>
        </w:rPr>
        <w:instrText xml:space="preserve">SEQ 图表 \* ARABIC</w:instrText>
      </w:r>
      <w:r>
        <w:instrText xml:space="preserve"> </w:instrText>
      </w:r>
      <w:r>
        <w:fldChar w:fldCharType="separate"/>
      </w:r>
      <w:r>
        <w:t>6</w:t>
      </w:r>
      <w:r>
        <w:fldChar w:fldCharType="end"/>
      </w:r>
      <w:bookmarkStart w:id="118" w:name="_Toc14386"/>
      <w:bookmarkStart w:id="119" w:name="_Toc13404"/>
      <w:r>
        <w:rPr>
          <w:rFonts w:hint="eastAsia" w:ascii="宋体" w:eastAsia="宋体"/>
        </w:rPr>
        <w:t>：郑州</w:t>
      </w:r>
      <w:r>
        <w:rPr>
          <w:rFonts w:ascii="宋体" w:eastAsia="宋体"/>
        </w:rPr>
        <w:t>从业人员网民安全感评价分布图</w:t>
      </w:r>
      <w:bookmarkEnd w:id="118"/>
      <w:bookmarkEnd w:id="119"/>
    </w:p>
    <w:p>
      <w:pPr>
        <w:ind w:firstLine="360" w:firstLineChars="150"/>
        <w:jc w:val="left"/>
        <w:rPr>
          <w:rFonts w:ascii="宋体" w:eastAsia="宋体"/>
        </w:rPr>
      </w:pPr>
      <w:r>
        <w:rPr>
          <w:rFonts w:hint="eastAsia" w:ascii="宋体" w:eastAsia="宋体"/>
        </w:rPr>
        <w:t>（图表数据来源：从业人员版主问卷第6题：您认为当前网络安全状况如何？）</w:t>
      </w:r>
    </w:p>
    <w:p>
      <w:pPr>
        <w:ind w:firstLine="270" w:firstLineChars="150"/>
        <w:jc w:val="center"/>
        <w:rPr>
          <w:rFonts w:ascii="宋体" w:eastAsia="宋体"/>
          <w:sz w:val="18"/>
          <w:szCs w:val="18"/>
        </w:rPr>
      </w:pPr>
    </w:p>
    <w:p>
      <w:pPr>
        <w:ind w:firstLine="560"/>
        <w:rPr>
          <w:rFonts w:asciiTheme="minorEastAsia" w:hAnsiTheme="minorEastAsia"/>
          <w:sz w:val="28"/>
          <w:szCs w:val="28"/>
        </w:rPr>
      </w:pPr>
      <w:r>
        <w:rPr>
          <w:rFonts w:hint="eastAsia" w:asciiTheme="minorEastAsia" w:hAnsiTheme="minorEastAsia"/>
          <w:sz w:val="28"/>
          <w:szCs w:val="22"/>
        </w:rPr>
        <w:t>和2020年河南数据相比，认为网络非常安全的从业人员比例要高1.6个百分点，认为网络安全一般的从业人员略低一点。</w:t>
      </w:r>
      <w:r>
        <w:rPr>
          <w:rFonts w:hint="eastAsia" w:asciiTheme="minorEastAsia" w:hAnsiTheme="minorEastAsia"/>
          <w:sz w:val="28"/>
          <w:szCs w:val="28"/>
        </w:rPr>
        <w:t>相较于从业人员感到安全或不安全的59.59%，区别不大。</w:t>
      </w:r>
    </w:p>
    <w:p>
      <w:pPr>
        <w:ind w:firstLine="560"/>
        <w:rPr>
          <w:rFonts w:asciiTheme="minorEastAsia" w:hAnsiTheme="minorEastAsia"/>
          <w:sz w:val="28"/>
          <w:szCs w:val="22"/>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（2）从业人员对网络安全感的变化的评价</w:t>
      </w:r>
    </w:p>
    <w:p>
      <w:pPr>
        <w:ind w:firstLine="560"/>
        <w:rPr>
          <w:rFonts w:asciiTheme="minorEastAsia" w:hAnsiTheme="minorEastAsia"/>
          <w:sz w:val="28"/>
          <w:szCs w:val="22"/>
        </w:rPr>
      </w:pPr>
      <w:r>
        <w:rPr>
          <w:rFonts w:hint="eastAsia" w:asciiTheme="minorEastAsia" w:hAnsiTheme="minorEastAsia"/>
          <w:sz w:val="28"/>
          <w:szCs w:val="22"/>
        </w:rPr>
        <w:t>从业人员认为与去年相比网络安全感有较明显的提升。其中39.90%的网民认为网络安全感有明显提升，40.35%网民认为有略有改善，两者相加达80.25%，超过四分之三的网民认为网络安全感有提升。</w:t>
      </w:r>
      <w:r>
        <w:rPr>
          <w:rFonts w:hint="eastAsia" w:asciiTheme="minorEastAsia" w:hAnsiTheme="minorEastAsia"/>
          <w:b/>
          <w:bCs/>
          <w:sz w:val="28"/>
          <w:szCs w:val="28"/>
        </w:rPr>
        <w:t>相较于河南数据，相差不大。</w:t>
      </w:r>
    </w:p>
    <w:p>
      <w:pPr>
        <w:jc w:val="center"/>
      </w:pPr>
      <w:r>
        <w:drawing>
          <wp:inline distT="0" distB="0" distL="114300" distR="114300">
            <wp:extent cx="4989830" cy="2976245"/>
            <wp:effectExtent l="4445" t="4445" r="15875" b="10160"/>
            <wp:docPr id="3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asciiTheme="minorEastAsia" w:hAnsiTheme="minorEastAsia"/>
        </w:rPr>
      </w:pPr>
      <w:r>
        <w:rPr>
          <w:rFonts w:hint="eastAsia" w:asciiTheme="minorEastAsia" w:hAnsi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t>7</w:t>
      </w:r>
      <w:r>
        <w:fldChar w:fldCharType="end"/>
      </w:r>
      <w:bookmarkStart w:id="120" w:name="_Toc10956"/>
      <w:bookmarkStart w:id="121" w:name="_Toc15275"/>
      <w:r>
        <w:rPr>
          <w:rFonts w:hint="eastAsia" w:asciiTheme="minorEastAsia" w:hAnsiTheme="minorEastAsia"/>
        </w:rPr>
        <w:t>：郑州</w:t>
      </w:r>
      <w:r>
        <w:rPr>
          <w:rFonts w:asciiTheme="minorEastAsia" w:hAnsiTheme="minorEastAsia"/>
        </w:rPr>
        <w:t>从业人员网民安全感变化评价图</w:t>
      </w:r>
      <w:bookmarkEnd w:id="120"/>
      <w:bookmarkEnd w:id="121"/>
    </w:p>
    <w:p>
      <w:pPr>
        <w:jc w:val="left"/>
        <w:rPr>
          <w:rFonts w:asciiTheme="minorEastAsia" w:hAnsiTheme="minorEastAsia"/>
          <w:szCs w:val="18"/>
        </w:rPr>
      </w:pPr>
      <w:r>
        <w:rPr>
          <w:rFonts w:hint="eastAsia" w:asciiTheme="minorEastAsia" w:hAnsiTheme="minorEastAsia"/>
          <w:szCs w:val="18"/>
        </w:rPr>
        <w:t>（图表数据来源：从业人员版一级问卷第7题：与去年相比，您使用网络时安全感是否有变化？）</w:t>
      </w:r>
    </w:p>
    <w:p>
      <w:pPr>
        <w:pStyle w:val="3"/>
        <w:ind w:firstLine="361" w:firstLineChars="150"/>
      </w:pPr>
      <w:bookmarkStart w:id="122" w:name="_Toc24831"/>
      <w:bookmarkStart w:id="123" w:name="_Toc19207414"/>
      <w:bookmarkStart w:id="124" w:name="_Toc5777"/>
      <w:bookmarkStart w:id="125" w:name="_Toc48725393"/>
      <w:r>
        <w:rPr>
          <w:rFonts w:hint="eastAsia"/>
        </w:rPr>
        <w:t>4.2网络安全态势感受</w:t>
      </w:r>
      <w:bookmarkEnd w:id="122"/>
      <w:bookmarkEnd w:id="123"/>
      <w:bookmarkEnd w:id="124"/>
      <w:bookmarkEnd w:id="125"/>
    </w:p>
    <w:p>
      <w:pPr>
        <w:ind w:firstLine="420" w:firstLineChars="150"/>
        <w:outlineLvl w:val="2"/>
        <w:rPr>
          <w:rFonts w:asciiTheme="minorEastAsia" w:hAnsiTheme="minorEastAsia"/>
          <w:sz w:val="28"/>
          <w:szCs w:val="22"/>
        </w:rPr>
      </w:pPr>
      <w:r>
        <w:rPr>
          <w:rFonts w:hint="eastAsia" w:asciiTheme="minorEastAsia" w:hAnsiTheme="minorEastAsia"/>
          <w:sz w:val="28"/>
          <w:szCs w:val="22"/>
        </w:rPr>
        <w:t>（1）工作中常遇到的安全威胁</w:t>
      </w:r>
    </w:p>
    <w:p>
      <w:pPr>
        <w:ind w:firstLine="560"/>
        <w:rPr>
          <w:rFonts w:asciiTheme="minorEastAsia" w:hAnsiTheme="minorEastAsia"/>
          <w:b/>
          <w:bCs/>
          <w:sz w:val="28"/>
          <w:szCs w:val="22"/>
        </w:rPr>
      </w:pPr>
      <w:r>
        <w:rPr>
          <w:rFonts w:hint="eastAsia" w:asciiTheme="minorEastAsia" w:hAnsiTheme="minorEastAsia"/>
          <w:sz w:val="28"/>
          <w:szCs w:val="22"/>
        </w:rPr>
        <w:t>34.60%的从业人员在工作中最常遇到的网络安全问题是恶意程序（勒索病毒、挖矿勒索、供应链木马、蠕虫病毒、僵尸网络等），33.44%从业人员遇到安全隐患（硬件漏洞、代码漏洞、业务逻辑漏洞、弱口令、后门等），33.25%从业人员遇到安全事件（主机受控、数据泄露、网页篡改、网络监听等），恶意网络资源（恶意IP地址、恶意域名、恶意URL、网络钓鱼等）遇到率为32.88%。</w:t>
      </w:r>
      <w:r>
        <w:rPr>
          <w:rFonts w:hint="eastAsia" w:asciiTheme="minorEastAsia" w:hAnsiTheme="minorEastAsia"/>
          <w:b/>
          <w:bCs/>
          <w:sz w:val="28"/>
          <w:szCs w:val="22"/>
        </w:rPr>
        <w:t>相较于河南数据前四位恶意程序、安全隐患、安全事件、恶意网络资源排名一致。</w:t>
      </w:r>
    </w:p>
    <w:p>
      <w:pPr>
        <w:rPr>
          <w:rFonts w:asciiTheme="minorEastAsia" w:hAnsiTheme="minorEastAsia"/>
          <w:sz w:val="28"/>
          <w:szCs w:val="22"/>
        </w:rPr>
      </w:pPr>
      <w:r>
        <w:drawing>
          <wp:inline distT="0" distB="0" distL="114300" distR="114300">
            <wp:extent cx="5238750" cy="3105785"/>
            <wp:effectExtent l="4445" t="4445" r="14605" b="13970"/>
            <wp:docPr id="3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
      <w:pPr>
        <w:pStyle w:val="6"/>
        <w:jc w:val="center"/>
        <w:rPr>
          <w:rFonts w:asciiTheme="minorEastAsia" w:hAnsiTheme="minorEastAsia" w:eastAsiaTheme="minorEastAsia"/>
          <w:sz w:val="24"/>
        </w:rPr>
      </w:pPr>
      <w:bookmarkStart w:id="126" w:name="_Toc19203702"/>
      <w:bookmarkStart w:id="127" w:name="_Toc19305608"/>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128" w:name="_Toc3431"/>
      <w:bookmarkStart w:id="129" w:name="_Toc17759"/>
      <w:r>
        <w:rPr>
          <w:rFonts w:hint="eastAsia" w:asciiTheme="minorEastAsia" w:hAnsiTheme="minorEastAsia" w:eastAsiaTheme="minorEastAsia"/>
          <w:sz w:val="24"/>
        </w:rPr>
        <w:t>：在工作中最常面对的网络安全威胁遇到率图</w:t>
      </w:r>
      <w:bookmarkEnd w:id="126"/>
      <w:bookmarkEnd w:id="127"/>
      <w:bookmarkEnd w:id="128"/>
      <w:bookmarkEnd w:id="129"/>
    </w:p>
    <w:p>
      <w:pPr>
        <w:jc w:val="left"/>
        <w:rPr>
          <w:rFonts w:asciiTheme="minorEastAsia" w:hAnsiTheme="minorEastAsia"/>
          <w:szCs w:val="18"/>
        </w:rPr>
      </w:pPr>
      <w:r>
        <w:rPr>
          <w:rFonts w:hint="eastAsia" w:asciiTheme="minorEastAsia" w:hAnsiTheme="minorEastAsia"/>
          <w:szCs w:val="18"/>
        </w:rPr>
        <w:t>（图表数据来源：从业人员版主问卷第8题.您在工作中最常面对和处理的网络安全威胁是？（多选））</w:t>
      </w:r>
    </w:p>
    <w:p>
      <w:pPr>
        <w:jc w:val="center"/>
        <w:rPr>
          <w:rFonts w:asciiTheme="minorEastAsia" w:hAnsiTheme="minorEastAsia"/>
          <w:szCs w:val="18"/>
        </w:rPr>
      </w:pPr>
    </w:p>
    <w:p>
      <w:pPr>
        <w:ind w:firstLine="560"/>
        <w:outlineLvl w:val="2"/>
        <w:rPr>
          <w:rFonts w:asciiTheme="minorEastAsia" w:hAnsiTheme="minorEastAsia"/>
          <w:sz w:val="28"/>
          <w:szCs w:val="22"/>
        </w:rPr>
      </w:pPr>
      <w:r>
        <w:rPr>
          <w:rFonts w:hint="eastAsia" w:asciiTheme="minorEastAsia" w:hAnsiTheme="minorEastAsia"/>
          <w:sz w:val="28"/>
          <w:szCs w:val="22"/>
        </w:rPr>
        <w:t>（2）网络安全事件频繁出现的原因</w:t>
      </w:r>
    </w:p>
    <w:p>
      <w:pPr>
        <w:ind w:firstLine="560"/>
        <w:rPr>
          <w:rFonts w:asciiTheme="minorEastAsia" w:hAnsiTheme="minorEastAsia"/>
          <w:sz w:val="28"/>
          <w:szCs w:val="22"/>
        </w:rPr>
      </w:pPr>
      <w:r>
        <w:rPr>
          <w:rFonts w:hint="eastAsia" w:asciiTheme="minorEastAsia" w:hAnsiTheme="minorEastAsia"/>
          <w:sz w:val="28"/>
          <w:szCs w:val="22"/>
        </w:rPr>
        <w:t>从业人员认为网络安全事件频繁出现的原因排前五位是1缺少管理和风险评估机制，2对第三方与供应商管理不到位，3攻击威胁，4员工缺乏安全培训，5网络安全人才和资金投入不足，关注度分别为：45.08%、31.26%、30.90%、27.91%、22.17%；反映了管理、威胁、投入等方面是主要的原因。</w:t>
      </w:r>
      <w:r>
        <w:rPr>
          <w:rFonts w:hint="eastAsia" w:asciiTheme="minorEastAsia" w:hAnsiTheme="minorEastAsia"/>
          <w:b/>
          <w:bCs/>
          <w:sz w:val="28"/>
          <w:szCs w:val="22"/>
        </w:rPr>
        <w:t>相较于河南数据排名前五的缺少管理和风险评估机制、对第三方与供应商管理不到位、攻击威胁、员工缺乏安全培训、网络安全人才和资金投入不足，应用类型一致，仅个别顺序不同。</w:t>
      </w:r>
    </w:p>
    <w:p>
      <w:pPr>
        <w:ind w:firstLine="560"/>
        <w:rPr>
          <w:rFonts w:asciiTheme="minorEastAsia" w:hAnsiTheme="minorEastAsia"/>
          <w:sz w:val="28"/>
          <w:szCs w:val="22"/>
        </w:rPr>
      </w:pPr>
    </w:p>
    <w:p>
      <w:pPr>
        <w:jc w:val="center"/>
        <w:rPr>
          <w:rFonts w:asciiTheme="minorEastAsia" w:hAnsiTheme="minorEastAsia"/>
          <w:szCs w:val="18"/>
        </w:rPr>
      </w:pPr>
    </w:p>
    <w:p>
      <w:pPr>
        <w:jc w:val="center"/>
        <w:rPr>
          <w:rFonts w:asciiTheme="minorEastAsia" w:hAnsiTheme="minorEastAsia"/>
          <w:szCs w:val="18"/>
        </w:rPr>
      </w:pPr>
    </w:p>
    <w:p>
      <w:pPr>
        <w:jc w:val="center"/>
        <w:rPr>
          <w:rFonts w:asciiTheme="minorEastAsia" w:hAnsiTheme="minorEastAsia"/>
          <w:szCs w:val="18"/>
        </w:rPr>
      </w:pPr>
    </w:p>
    <w:p>
      <w:pPr>
        <w:jc w:val="center"/>
        <w:rPr>
          <w:rFonts w:asciiTheme="minorEastAsia" w:hAnsiTheme="minorEastAsia"/>
          <w:szCs w:val="18"/>
        </w:rPr>
      </w:pPr>
    </w:p>
    <w:p>
      <w:pPr>
        <w:jc w:val="center"/>
        <w:rPr>
          <w:rFonts w:asciiTheme="minorEastAsia" w:hAnsiTheme="minorEastAsia"/>
          <w:szCs w:val="18"/>
        </w:rPr>
      </w:pPr>
      <w:r>
        <w:drawing>
          <wp:inline distT="0" distB="0" distL="114300" distR="114300">
            <wp:extent cx="5374640" cy="3335020"/>
            <wp:effectExtent l="5080" t="4445" r="11430" b="13335"/>
            <wp:docPr id="1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30" w:name="_Toc48724967"/>
      <w:bookmarkStart w:id="131" w:name="_Toc19305609"/>
      <w:bookmarkStart w:id="132" w:name="_Toc19203703"/>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bookmarkStart w:id="133" w:name="_Toc15496"/>
      <w:bookmarkStart w:id="134" w:name="_Toc11532"/>
      <w:bookmarkStart w:id="135" w:name="_Toc1420"/>
      <w:r>
        <w:rPr>
          <w:rFonts w:hint="eastAsia"/>
          <w:sz w:val="24"/>
        </w:rPr>
        <w:t>：网民遇到的违法有害信息</w:t>
      </w:r>
      <w:bookmarkEnd w:id="130"/>
      <w:bookmarkEnd w:id="131"/>
      <w:bookmarkEnd w:id="132"/>
      <w:bookmarkEnd w:id="133"/>
      <w:bookmarkEnd w:id="134"/>
      <w:bookmarkEnd w:id="135"/>
    </w:p>
    <w:p>
      <w:pPr>
        <w:ind w:firstLine="0" w:firstLineChars="0"/>
        <w:rPr>
          <w:rFonts w:asciiTheme="minorEastAsia" w:hAnsiTheme="minorEastAsia"/>
          <w:szCs w:val="18"/>
        </w:rPr>
      </w:pPr>
      <w:r>
        <w:rPr>
          <w:rFonts w:hint="eastAsia"/>
        </w:rPr>
        <w:t>（图表数据来源：从业人员版主问卷第9题：您认为造成网络安全事件频繁出现的主要原因是？）</w:t>
      </w:r>
    </w:p>
    <w:p>
      <w:pPr>
        <w:pStyle w:val="3"/>
        <w:ind w:firstLine="361" w:firstLineChars="150"/>
      </w:pPr>
      <w:bookmarkStart w:id="136" w:name="_Toc48725394"/>
      <w:bookmarkStart w:id="137" w:name="_Toc4401"/>
      <w:bookmarkStart w:id="138" w:name="_Toc15752"/>
      <w:r>
        <w:rPr>
          <w:rFonts w:hint="eastAsia"/>
        </w:rPr>
        <w:t>4.3打击网络黑灰产业</w:t>
      </w:r>
      <w:bookmarkEnd w:id="136"/>
      <w:bookmarkEnd w:id="137"/>
      <w:bookmarkEnd w:id="138"/>
    </w:p>
    <w:p>
      <w:pPr>
        <w:ind w:firstLine="420" w:firstLineChars="150"/>
        <w:outlineLvl w:val="2"/>
        <w:rPr>
          <w:rFonts w:asciiTheme="minorEastAsia" w:hAnsiTheme="minorEastAsia"/>
          <w:sz w:val="28"/>
          <w:szCs w:val="22"/>
        </w:rPr>
      </w:pPr>
      <w:r>
        <w:rPr>
          <w:rFonts w:hint="eastAsia" w:asciiTheme="minorEastAsia" w:hAnsiTheme="minorEastAsia"/>
          <w:sz w:val="28"/>
          <w:szCs w:val="22"/>
        </w:rPr>
        <w:t>（1）互联网黑灰产业活跃情况</w:t>
      </w:r>
    </w:p>
    <w:p>
      <w:pPr>
        <w:ind w:firstLine="560"/>
        <w:rPr>
          <w:rFonts w:asciiTheme="minorEastAsia" w:hAnsiTheme="minorEastAsia"/>
          <w:sz w:val="28"/>
          <w:szCs w:val="22"/>
        </w:rPr>
      </w:pPr>
      <w:r>
        <w:rPr>
          <w:rFonts w:asciiTheme="minorEastAsia" w:hAnsiTheme="minorEastAsia"/>
          <w:sz w:val="28"/>
          <w:szCs w:val="22"/>
        </w:rPr>
        <w:t>从业</w:t>
      </w:r>
      <w:r>
        <w:rPr>
          <w:rFonts w:hint="eastAsia" w:asciiTheme="minorEastAsia" w:hAnsiTheme="minorEastAsia"/>
          <w:sz w:val="28"/>
          <w:szCs w:val="22"/>
        </w:rPr>
        <w:t>人员对互联网黑灰产业的活跃度变化的评价差别比较大，认为增加有37.11%，其中认为明显增加的有18.54%，略有增加有18.57%。认为减少的也有30.99%，而认为不了解也有23.51</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b/>
          <w:bCs/>
          <w:sz w:val="28"/>
          <w:szCs w:val="22"/>
        </w:rPr>
        <w:t>相较于河南数据显示增加35.76%，略高1.35个百分点</w:t>
      </w:r>
    </w:p>
    <w:p>
      <w:pPr>
        <w:jc w:val="center"/>
      </w:pPr>
      <w:r>
        <w:drawing>
          <wp:inline distT="0" distB="0" distL="114300" distR="114300">
            <wp:extent cx="4381500" cy="2457450"/>
            <wp:effectExtent l="4445" t="4445" r="14605" b="14605"/>
            <wp:docPr id="4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bookmarkStart w:id="139" w:name="_Toc26799"/>
      <w:bookmarkStart w:id="140" w:name="_Toc15999"/>
      <w:r>
        <w:rPr>
          <w:rFonts w:hint="eastAsia" w:asciiTheme="minorEastAsia" w:hAnsiTheme="minorEastAsia" w:eastAsiaTheme="minorEastAsia"/>
          <w:sz w:val="24"/>
        </w:rPr>
        <w:t>：互联网黑灰产业情况评价分布图</w:t>
      </w:r>
      <w:bookmarkEnd w:id="139"/>
      <w:bookmarkEnd w:id="140"/>
    </w:p>
    <w:p>
      <w:pPr>
        <w:pStyle w:val="6"/>
        <w:jc w:val="left"/>
        <w:rPr>
          <w:rFonts w:asciiTheme="minorEastAsia" w:hAnsiTheme="minorEastAsia" w:eastAsiaTheme="minorEastAsia"/>
          <w:sz w:val="24"/>
        </w:rPr>
      </w:pPr>
      <w:r>
        <w:rPr>
          <w:rFonts w:hint="eastAsia" w:asciiTheme="minorEastAsia" w:hAnsiTheme="minorEastAsia" w:eastAsiaTheme="minorEastAsia"/>
          <w:sz w:val="24"/>
        </w:rPr>
        <w:t>（图表数据来源：从业人员版主问卷第10题：您认为近年来网络数据、账号违法交易，网络色情等互联网黑灰产业的情况是？）</w:t>
      </w:r>
    </w:p>
    <w:p>
      <w:pPr>
        <w:pStyle w:val="6"/>
        <w:ind w:firstLine="420"/>
        <w:jc w:val="center"/>
        <w:rPr>
          <w:rFonts w:asciiTheme="minorEastAsia" w:hAnsiTheme="minorEastAsia" w:eastAsiaTheme="minorEastAsia" w:cstheme="minorEastAsia"/>
          <w:sz w:val="21"/>
          <w:szCs w:val="21"/>
        </w:rPr>
      </w:pPr>
    </w:p>
    <w:p>
      <w:pPr>
        <w:ind w:firstLine="560"/>
        <w:outlineLvl w:val="2"/>
        <w:rPr>
          <w:rFonts w:asciiTheme="minorEastAsia" w:hAnsiTheme="minorEastAsia"/>
          <w:sz w:val="28"/>
          <w:szCs w:val="22"/>
        </w:rPr>
      </w:pPr>
      <w:r>
        <w:rPr>
          <w:rFonts w:hint="eastAsia" w:asciiTheme="minorEastAsia" w:hAnsiTheme="minorEastAsia"/>
          <w:sz w:val="28"/>
          <w:szCs w:val="22"/>
        </w:rPr>
        <w:t>（2）常见的网络黑灰产业犯罪手法</w:t>
      </w:r>
    </w:p>
    <w:p>
      <w:pPr>
        <w:ind w:firstLine="560"/>
        <w:rPr>
          <w:rFonts w:asciiTheme="minorEastAsia" w:hAnsiTheme="minorEastAsia"/>
          <w:sz w:val="28"/>
          <w:szCs w:val="22"/>
        </w:rPr>
      </w:pPr>
      <w:r>
        <w:rPr>
          <w:rFonts w:hint="eastAsia" w:asciiTheme="minorEastAsia" w:hAnsiTheme="minorEastAsia"/>
          <w:sz w:val="28"/>
          <w:szCs w:val="22"/>
        </w:rPr>
        <w:t>41.95%从业人员认为虚假流量最常见的网络黑灰产业犯罪手法。暗扣话费和手机应用分发等排二、三位，分别为38.14</w:t>
      </w:r>
      <w:r>
        <w:rPr>
          <w:rFonts w:asciiTheme="minorEastAsia" w:hAnsiTheme="minorEastAsia"/>
          <w:sz w:val="28"/>
          <w:szCs w:val="22"/>
        </w:rPr>
        <w:t>%</w:t>
      </w:r>
      <w:r>
        <w:rPr>
          <w:rFonts w:hint="eastAsia" w:asciiTheme="minorEastAsia" w:hAnsiTheme="minorEastAsia"/>
          <w:sz w:val="28"/>
          <w:szCs w:val="22"/>
        </w:rPr>
        <w:t>和31.19%，“薅羊毛”则列第四位。</w:t>
      </w:r>
      <w:r>
        <w:rPr>
          <w:rFonts w:hint="eastAsia" w:asciiTheme="minorEastAsia" w:hAnsiTheme="minorEastAsia"/>
          <w:b/>
          <w:bCs/>
          <w:sz w:val="28"/>
          <w:szCs w:val="22"/>
        </w:rPr>
        <w:t>相较于河南数据排名前三位的虚假流量、暗扣胡斐、手机应用分发一致。</w:t>
      </w:r>
    </w:p>
    <w:p>
      <w:pPr>
        <w:ind w:firstLine="360" w:firstLineChars="150"/>
        <w:jc w:val="center"/>
        <w:rPr>
          <w:sz w:val="28"/>
        </w:rPr>
      </w:pPr>
      <w:r>
        <w:drawing>
          <wp:inline distT="0" distB="0" distL="114300" distR="114300">
            <wp:extent cx="5181600" cy="3066415"/>
            <wp:effectExtent l="4445" t="4445" r="14605" b="15240"/>
            <wp:docPr id="2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EastAsia" w:hAnsiTheme="minorEastAsia" w:eastAsiaTheme="minorEastAsia"/>
          <w:bCs/>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bookmarkStart w:id="141" w:name="_Toc8017"/>
      <w:bookmarkStart w:id="142" w:name="_Toc19987"/>
      <w:r>
        <w:rPr>
          <w:rFonts w:hint="eastAsia" w:asciiTheme="minorEastAsia" w:hAnsiTheme="minorEastAsia" w:eastAsiaTheme="minorEastAsia"/>
          <w:sz w:val="24"/>
          <w:szCs w:val="21"/>
        </w:rPr>
        <w:t>：</w:t>
      </w:r>
      <w:r>
        <w:rPr>
          <w:rFonts w:asciiTheme="minorEastAsia" w:hAnsiTheme="minorEastAsia" w:eastAsiaTheme="minorEastAsia"/>
          <w:bCs/>
          <w:sz w:val="24"/>
          <w:szCs w:val="21"/>
        </w:rPr>
        <w:t>常见的黑灰产业犯罪手法分布图</w:t>
      </w:r>
      <w:bookmarkEnd w:id="141"/>
      <w:bookmarkEnd w:id="142"/>
    </w:p>
    <w:p>
      <w:pPr>
        <w:jc w:val="left"/>
      </w:pPr>
      <w:r>
        <w:rPr>
          <w:rFonts w:hint="eastAsia"/>
        </w:rPr>
        <w:t>（图表数据来源：</w:t>
      </w:r>
      <w:bookmarkStart w:id="143" w:name="_Hlk48322068"/>
      <w:r>
        <w:rPr>
          <w:rFonts w:hint="eastAsia"/>
        </w:rPr>
        <w:t>从业人员版主问卷第11题：</w:t>
      </w:r>
      <w:bookmarkEnd w:id="143"/>
      <w:r>
        <w:rPr>
          <w:rFonts w:hint="eastAsia"/>
        </w:rPr>
        <w:t>以下哪些网络黑灰产犯罪手法是您近一年常见的？）</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（3）“刷流量”、“网络水军”的现象屡禁不绝的原因</w:t>
      </w:r>
    </w:p>
    <w:p>
      <w:pPr>
        <w:ind w:firstLine="560"/>
        <w:rPr>
          <w:rFonts w:asciiTheme="minorEastAsia" w:hAnsiTheme="minorEastAsia"/>
          <w:sz w:val="32"/>
        </w:rPr>
      </w:pPr>
      <w:r>
        <w:rPr>
          <w:rFonts w:hint="eastAsia" w:asciiTheme="minorEastAsia" w:hAnsiTheme="minorEastAsia"/>
          <w:sz w:val="28"/>
          <w:szCs w:val="22"/>
        </w:rPr>
        <w:t>54.99%的从业人员认为监管力度不够，相关法律欠缺、平台管理漏洞、利益驱动则位列2、3、4位，关注度分别位47.93%、47.87%、44.08</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b/>
          <w:bCs/>
          <w:sz w:val="28"/>
          <w:szCs w:val="22"/>
        </w:rPr>
        <w:t>相较于河南数据排名前四位的相关法律欠缺、平台管理漏洞、利益驱动、社会监督不足一致。</w:t>
      </w:r>
    </w:p>
    <w:p>
      <w:pPr>
        <w:jc w:val="center"/>
      </w:pPr>
      <w:r>
        <w:drawing>
          <wp:inline distT="0" distB="0" distL="114300" distR="114300">
            <wp:extent cx="4572000" cy="2743200"/>
            <wp:effectExtent l="4445" t="4445" r="14605" b="14605"/>
            <wp:docPr id="2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bookmarkStart w:id="144" w:name="_Toc2368"/>
      <w:bookmarkStart w:id="145" w:name="_Toc32125"/>
      <w:r>
        <w:rPr>
          <w:rFonts w:hint="eastAsia" w:asciiTheme="minorEastAsia" w:hAnsiTheme="minorEastAsia" w:eastAsiaTheme="minorEastAsia" w:cstheme="minorEastAsia"/>
          <w:sz w:val="24"/>
          <w:szCs w:val="21"/>
        </w:rPr>
        <w:t>：刷流量网络水军现象屡禁不绝的原因</w:t>
      </w:r>
      <w:bookmarkEnd w:id="144"/>
      <w:bookmarkEnd w:id="145"/>
    </w:p>
    <w:p>
      <w:pPr>
        <w:jc w:val="left"/>
        <w:rPr>
          <w:rFonts w:asciiTheme="minorEastAsia" w:hAnsiTheme="minorEastAsia" w:cstheme="minorEastAsia"/>
        </w:rPr>
      </w:pPr>
      <w:r>
        <w:rPr>
          <w:rFonts w:hint="eastAsia" w:asciiTheme="minorEastAsia" w:hAnsiTheme="minorEastAsia" w:cstheme="minorEastAsia"/>
        </w:rPr>
        <w:t>（图表数据来源：从业人员版主问卷第12题：您认为“刷流量”、“网络水军”的现象为何屡禁不绝？）</w:t>
      </w:r>
    </w:p>
    <w:p>
      <w:pPr>
        <w:jc w:val="center"/>
        <w:rPr>
          <w:rFonts w:asciiTheme="minorEastAsia" w:hAnsiTheme="minorEastAsia" w:cstheme="minorEastAsia"/>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（4）整治网络黑灰产业的关键</w:t>
      </w:r>
    </w:p>
    <w:p>
      <w:pPr>
        <w:ind w:firstLine="560"/>
        <w:rPr>
          <w:rFonts w:asciiTheme="minorEastAsia" w:hAnsiTheme="minorEastAsia"/>
          <w:sz w:val="28"/>
          <w:szCs w:val="22"/>
        </w:rPr>
      </w:pPr>
      <w:r>
        <w:rPr>
          <w:rFonts w:asciiTheme="minorEastAsia" w:hAnsiTheme="minorEastAsia"/>
          <w:sz w:val="28"/>
          <w:szCs w:val="22"/>
        </w:rPr>
        <w:t>6</w:t>
      </w:r>
      <w:r>
        <w:rPr>
          <w:rFonts w:hint="eastAsia" w:asciiTheme="minorEastAsia" w:hAnsiTheme="minorEastAsia"/>
          <w:sz w:val="28"/>
          <w:szCs w:val="22"/>
        </w:rPr>
        <w:t>0</w:t>
      </w:r>
      <w:r>
        <w:rPr>
          <w:rFonts w:asciiTheme="minorEastAsia" w:hAnsiTheme="minorEastAsia"/>
          <w:sz w:val="28"/>
          <w:szCs w:val="22"/>
        </w:rPr>
        <w:t>.</w:t>
      </w:r>
      <w:r>
        <w:rPr>
          <w:rFonts w:hint="eastAsia" w:asciiTheme="minorEastAsia" w:hAnsiTheme="minorEastAsia"/>
          <w:sz w:val="28"/>
          <w:szCs w:val="22"/>
        </w:rPr>
        <w:t>74</w:t>
      </w:r>
      <w:r>
        <w:rPr>
          <w:rFonts w:asciiTheme="minorEastAsia" w:hAnsiTheme="minorEastAsia"/>
          <w:sz w:val="28"/>
          <w:szCs w:val="22"/>
        </w:rPr>
        <w:t>%</w:t>
      </w:r>
      <w:r>
        <w:rPr>
          <w:rFonts w:hint="eastAsia" w:asciiTheme="minorEastAsia" w:hAnsiTheme="minorEastAsia"/>
          <w:sz w:val="28"/>
          <w:szCs w:val="22"/>
        </w:rPr>
        <w:t>从业人员认为从信息链条入手最关键，账号链条、推广链条、流量链条、资金链条分列2、3、4、5位，关注度分别位42.27%、40.60%、39.91%、33.95%。</w:t>
      </w:r>
      <w:r>
        <w:rPr>
          <w:rFonts w:hint="eastAsia" w:asciiTheme="minorEastAsia" w:hAnsiTheme="minorEastAsia"/>
          <w:b/>
          <w:bCs/>
          <w:sz w:val="28"/>
          <w:szCs w:val="22"/>
        </w:rPr>
        <w:t>相较于河南数据排名前五位的信息链条、账号链条、推广链条、流量链条、资金链条基本一致。</w:t>
      </w:r>
    </w:p>
    <w:p>
      <w:pPr>
        <w:jc w:val="center"/>
      </w:pPr>
      <w:r>
        <w:drawing>
          <wp:inline distT="0" distB="0" distL="114300" distR="114300">
            <wp:extent cx="4572000" cy="2743200"/>
            <wp:effectExtent l="4445" t="4445" r="14605"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bookmarkStart w:id="146" w:name="_Toc10060"/>
      <w:bookmarkStart w:id="147" w:name="_Toc25999"/>
      <w:r>
        <w:rPr>
          <w:rFonts w:hint="eastAsia" w:asciiTheme="minorEastAsia" w:hAnsiTheme="minorEastAsia" w:eastAsiaTheme="minorEastAsia"/>
          <w:sz w:val="24"/>
          <w:szCs w:val="21"/>
        </w:rPr>
        <w:t>：</w:t>
      </w:r>
      <w:r>
        <w:rPr>
          <w:rFonts w:asciiTheme="minorEastAsia" w:hAnsiTheme="minorEastAsia" w:eastAsiaTheme="minorEastAsia"/>
          <w:sz w:val="24"/>
          <w:szCs w:val="21"/>
        </w:rPr>
        <w:t>整治网络黑灰产业关键手段评价</w:t>
      </w:r>
      <w:bookmarkEnd w:id="146"/>
      <w:bookmarkEnd w:id="147"/>
    </w:p>
    <w:p>
      <w:pPr>
        <w:jc w:val="left"/>
      </w:pPr>
      <w:r>
        <w:rPr>
          <w:rFonts w:hint="eastAsia"/>
        </w:rPr>
        <w:t>（图表数据来源：从业人员版主问卷第13题：您认为整治网络黑灰产业，从哪些链条入手最关键？）</w:t>
      </w:r>
    </w:p>
    <w:p>
      <w:pPr>
        <w:pStyle w:val="3"/>
        <w:ind w:firstLine="361" w:firstLineChars="150"/>
      </w:pPr>
      <w:bookmarkStart w:id="148" w:name="_Toc19207415"/>
      <w:bookmarkStart w:id="149" w:name="_Toc23084"/>
      <w:bookmarkStart w:id="150" w:name="_Toc48725395"/>
      <w:bookmarkStart w:id="151" w:name="_Toc13721"/>
      <w:r>
        <w:rPr>
          <w:rFonts w:hint="eastAsia"/>
        </w:rPr>
        <w:t>4.</w:t>
      </w:r>
      <w:bookmarkEnd w:id="148"/>
      <w:r>
        <w:rPr>
          <w:rFonts w:hint="eastAsia"/>
        </w:rPr>
        <w:t>4网络安全的治理</w:t>
      </w:r>
      <w:bookmarkEnd w:id="149"/>
      <w:bookmarkEnd w:id="150"/>
      <w:bookmarkEnd w:id="151"/>
    </w:p>
    <w:p>
      <w:pPr>
        <w:ind w:firstLine="420" w:firstLineChars="150"/>
        <w:outlineLvl w:val="2"/>
        <w:rPr>
          <w:rFonts w:asciiTheme="minorEastAsia" w:hAnsiTheme="minorEastAsia"/>
          <w:sz w:val="28"/>
          <w:szCs w:val="22"/>
        </w:rPr>
      </w:pPr>
      <w:r>
        <w:rPr>
          <w:rFonts w:hint="eastAsia" w:asciiTheme="minorEastAsia" w:hAnsiTheme="minorEastAsia"/>
          <w:sz w:val="28"/>
          <w:szCs w:val="22"/>
        </w:rPr>
        <w:t>（1）网络安全最突出的问题</w:t>
      </w:r>
    </w:p>
    <w:p>
      <w:pPr>
        <w:widowControl/>
        <w:adjustRightInd/>
        <w:snapToGrid/>
        <w:ind w:firstLine="560"/>
        <w:rPr>
          <w:rFonts w:asciiTheme="minorEastAsia" w:hAnsiTheme="minorEastAsia"/>
          <w:sz w:val="28"/>
          <w:szCs w:val="22"/>
        </w:rPr>
      </w:pPr>
      <w:r>
        <w:rPr>
          <w:rFonts w:hint="eastAsia" w:asciiTheme="minorEastAsia" w:hAnsiTheme="minorEastAsia"/>
          <w:sz w:val="28"/>
          <w:szCs w:val="22"/>
        </w:rPr>
        <w:t>72.26%的从业人员认为网络安全最突出或亟需治理的问题是信息泄露。网络诈骗、网络骚扰分别列2、3位，关注度达59.68%和57.87%。游戏沉迷、网络谣言与诽谤、网络色情、网络赌博关注度也比较高，分别为39.38%、38.98%、38.61%、38.47%。显示信息保护、打击诈骗、网络欺凌、打击涉黄涉赌等是主要的痛点。</w:t>
      </w:r>
      <w:r>
        <w:rPr>
          <w:rFonts w:hint="eastAsia" w:asciiTheme="minorEastAsia" w:hAnsiTheme="minorEastAsia"/>
          <w:b/>
          <w:bCs/>
          <w:sz w:val="28"/>
          <w:szCs w:val="22"/>
        </w:rPr>
        <w:t>相较于河南数据排名前五的信息泄露、网络诈骗、网络骚扰、游戏沉迷、网络谣言与诽谤应用类型一致</w:t>
      </w:r>
    </w:p>
    <w:p>
      <w:pPr>
        <w:jc w:val="center"/>
      </w:pPr>
      <w:r>
        <w:drawing>
          <wp:inline distT="0" distB="0" distL="114300" distR="114300">
            <wp:extent cx="4572000" cy="4827905"/>
            <wp:effectExtent l="4445" t="4445" r="14605" b="6350"/>
            <wp:docPr id="2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EastAsia" w:hAnsiTheme="minorEastAsia" w:eastAsiaTheme="minorEastAsia" w:cstheme="minorEastAsia"/>
          <w:sz w:val="24"/>
        </w:rPr>
      </w:pPr>
      <w:bookmarkStart w:id="152" w:name="_Toc19305614"/>
      <w:bookmarkStart w:id="153" w:name="_Toc19203708"/>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14</w:t>
      </w:r>
      <w:r>
        <w:rPr>
          <w:sz w:val="24"/>
        </w:rPr>
        <w:fldChar w:fldCharType="end"/>
      </w:r>
      <w:bookmarkStart w:id="154" w:name="_Toc15031"/>
      <w:bookmarkStart w:id="155" w:name="_Toc22517"/>
      <w:r>
        <w:rPr>
          <w:rFonts w:hint="eastAsia" w:asciiTheme="minorEastAsia" w:hAnsiTheme="minorEastAsia" w:eastAsiaTheme="minorEastAsia" w:cstheme="minorEastAsia"/>
          <w:sz w:val="24"/>
        </w:rPr>
        <w:t>：</w:t>
      </w:r>
      <w:bookmarkEnd w:id="152"/>
      <w:bookmarkEnd w:id="153"/>
      <w:r>
        <w:rPr>
          <w:rFonts w:hint="eastAsia" w:asciiTheme="minorEastAsia" w:hAnsiTheme="minorEastAsia" w:eastAsiaTheme="minorEastAsia" w:cstheme="minorEastAsia"/>
          <w:sz w:val="24"/>
        </w:rPr>
        <w:t>网络安全最突出或亟需治理的问题</w:t>
      </w:r>
      <w:bookmarkEnd w:id="154"/>
      <w:bookmarkEnd w:id="155"/>
    </w:p>
    <w:p>
      <w:pPr>
        <w:jc w:val="left"/>
        <w:rPr>
          <w:rFonts w:asciiTheme="minorEastAsia" w:hAnsiTheme="minorEastAsia" w:cstheme="minorEastAsia"/>
          <w:szCs w:val="18"/>
        </w:rPr>
      </w:pPr>
      <w:r>
        <w:rPr>
          <w:rFonts w:hint="eastAsia" w:asciiTheme="minorEastAsia" w:hAnsiTheme="minorEastAsia" w:cstheme="minorEastAsia"/>
          <w:szCs w:val="18"/>
        </w:rPr>
        <w:t>（图表数据来源：从业人员版主问卷第14题：您认为当前网络安全最突出或亟待治理的问题有哪些？）</w:t>
      </w:r>
    </w:p>
    <w:p>
      <w:pPr>
        <w:jc w:val="center"/>
        <w:rPr>
          <w:rFonts w:asciiTheme="minorEastAsia" w:hAnsiTheme="minorEastAsia" w:cstheme="minorEastAsia"/>
          <w:szCs w:val="18"/>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（2）维护网络安全的措施</w:t>
      </w:r>
    </w:p>
    <w:p>
      <w:pPr>
        <w:ind w:firstLine="560"/>
        <w:rPr>
          <w:rFonts w:asciiTheme="minorEastAsia" w:hAnsiTheme="minorEastAsia"/>
          <w:b/>
          <w:bCs/>
          <w:sz w:val="28"/>
          <w:szCs w:val="22"/>
        </w:rPr>
      </w:pPr>
      <w:r>
        <w:rPr>
          <w:rFonts w:hint="eastAsia" w:asciiTheme="minorEastAsia" w:hAnsiTheme="minorEastAsia"/>
          <w:sz w:val="28"/>
          <w:szCs w:val="22"/>
        </w:rPr>
        <w:t>从业人员认为维护网络安全的最需要采取的措施有：1加强网络安全法制建设（74.52%）、2强化网络安全监管（56.75%）、3贯彻落实网络安全等级保护制度（50.44%）、</w:t>
      </w:r>
      <w:r>
        <w:rPr>
          <w:rFonts w:asciiTheme="minorEastAsia" w:hAnsiTheme="minorEastAsia"/>
          <w:sz w:val="28"/>
          <w:szCs w:val="22"/>
        </w:rPr>
        <w:t>4</w:t>
      </w:r>
      <w:r>
        <w:rPr>
          <w:rFonts w:hint="eastAsia" w:asciiTheme="minorEastAsia" w:hAnsiTheme="minorEastAsia"/>
          <w:sz w:val="28"/>
          <w:szCs w:val="22"/>
        </w:rPr>
        <w:t>提升网络安全问题的发现能能力（46.11%）、5严厉打击网络违法犯罪行为（45.15%）、6加强未成年上网保护（43.76%）。</w:t>
      </w:r>
      <w:r>
        <w:rPr>
          <w:rFonts w:hint="eastAsia" w:asciiTheme="minorEastAsia" w:hAnsiTheme="minorEastAsia"/>
          <w:b/>
          <w:bCs/>
          <w:sz w:val="28"/>
          <w:szCs w:val="22"/>
        </w:rPr>
        <w:t>相较于河南数据排名前五的应用类型一致。</w:t>
      </w:r>
    </w:p>
    <w:p>
      <w:pPr>
        <w:jc w:val="center"/>
        <w:rPr>
          <w:rFonts w:asciiTheme="minorEastAsia" w:hAnsiTheme="minorEastAsia"/>
          <w:sz w:val="32"/>
        </w:rPr>
      </w:pPr>
      <w:r>
        <w:drawing>
          <wp:inline distT="0" distB="0" distL="114300" distR="114300">
            <wp:extent cx="5274945" cy="4683760"/>
            <wp:effectExtent l="4445" t="4445" r="16510" b="17145"/>
            <wp:docPr id="2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56" w:name="_Toc19305615"/>
      <w:bookmarkStart w:id="157" w:name="_Toc19203709"/>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bookmarkStart w:id="158" w:name="_Toc7830"/>
      <w:bookmarkStart w:id="159" w:name="_Toc29335"/>
      <w:r>
        <w:rPr>
          <w:rFonts w:hint="eastAsia"/>
          <w:sz w:val="24"/>
        </w:rPr>
        <w:t>：</w:t>
      </w:r>
      <w:bookmarkEnd w:id="156"/>
      <w:bookmarkEnd w:id="157"/>
      <w:r>
        <w:rPr>
          <w:rFonts w:hint="eastAsia"/>
          <w:sz w:val="24"/>
        </w:rPr>
        <w:t>维护网络安全最需要采取的措施</w:t>
      </w:r>
      <w:bookmarkEnd w:id="158"/>
      <w:bookmarkEnd w:id="159"/>
    </w:p>
    <w:p>
      <w:pPr>
        <w:jc w:val="left"/>
      </w:pPr>
      <w:r>
        <w:rPr>
          <w:rFonts w:hint="eastAsia"/>
        </w:rPr>
        <w:t>（图表数据来源：</w:t>
      </w:r>
      <w:bookmarkStart w:id="160" w:name="_Hlk48325143"/>
      <w:r>
        <w:rPr>
          <w:rFonts w:hint="eastAsia"/>
        </w:rPr>
        <w:t>从业人员版主问卷第15题：</w:t>
      </w:r>
      <w:bookmarkEnd w:id="160"/>
      <w:r>
        <w:rPr>
          <w:rFonts w:hint="eastAsia"/>
        </w:rPr>
        <w:t>您认为维护网络安全最需要采取哪些措施？）</w:t>
      </w:r>
    </w:p>
    <w:p>
      <w:pPr>
        <w:jc w:val="center"/>
      </w:pPr>
    </w:p>
    <w:p>
      <w:pPr>
        <w:ind w:firstLine="560"/>
        <w:outlineLvl w:val="2"/>
        <w:rPr>
          <w:rFonts w:asciiTheme="minorEastAsia" w:hAnsiTheme="minorEastAsia"/>
          <w:sz w:val="28"/>
          <w:szCs w:val="22"/>
        </w:rPr>
      </w:pPr>
      <w:r>
        <w:rPr>
          <w:rFonts w:hint="eastAsia" w:asciiTheme="minorEastAsia" w:hAnsiTheme="minorEastAsia"/>
          <w:sz w:val="28"/>
          <w:szCs w:val="22"/>
        </w:rPr>
        <w:t>（3）加强网络安全立法</w:t>
      </w:r>
    </w:p>
    <w:p>
      <w:pPr>
        <w:ind w:firstLine="560"/>
        <w:rPr>
          <w:rFonts w:asciiTheme="minorEastAsia" w:hAnsiTheme="minorEastAsia"/>
          <w:b/>
          <w:bCs/>
          <w:sz w:val="28"/>
          <w:szCs w:val="22"/>
        </w:rPr>
      </w:pPr>
      <w:r>
        <w:rPr>
          <w:rFonts w:hint="eastAsia" w:asciiTheme="minorEastAsia" w:hAnsiTheme="minorEastAsia"/>
          <w:sz w:val="28"/>
          <w:szCs w:val="22"/>
        </w:rPr>
        <w:t>从业人员对加强网络安全立法的内容的关注点主要在：1个人信息保护（67.80%）、2网络平台责任（57.20%）、3未成年人上网保护（43.39</w:t>
      </w:r>
      <w:r>
        <w:rPr>
          <w:rFonts w:asciiTheme="minorEastAsia" w:hAnsiTheme="minorEastAsia"/>
          <w:sz w:val="28"/>
          <w:szCs w:val="22"/>
        </w:rPr>
        <w:t>%</w:t>
      </w:r>
      <w:r>
        <w:rPr>
          <w:rFonts w:hint="eastAsia" w:asciiTheme="minorEastAsia" w:hAnsiTheme="minorEastAsia"/>
          <w:sz w:val="28"/>
          <w:szCs w:val="22"/>
        </w:rPr>
        <w:t>）。网络安全等级保护、网络违法犯罪防治、网络安全各领域监管、关键信息基础设施保护等方面立法关注度也比较高。</w:t>
      </w:r>
      <w:r>
        <w:rPr>
          <w:rFonts w:hint="eastAsia" w:asciiTheme="minorEastAsia" w:hAnsiTheme="minorEastAsia"/>
          <w:b/>
          <w:bCs/>
          <w:sz w:val="28"/>
          <w:szCs w:val="22"/>
        </w:rPr>
        <w:t>相较于河南数据排名前五的个人信息保护、网络平台责任、未成年上网保护、网络安全等级保护、网络违法犯规防治应用类型一致。</w:t>
      </w:r>
    </w:p>
    <w:p>
      <w:pPr>
        <w:ind w:firstLine="700" w:firstLineChars="250"/>
        <w:rPr>
          <w:rFonts w:asciiTheme="minorEastAsia" w:hAnsiTheme="minorEastAsia"/>
          <w:sz w:val="28"/>
          <w:szCs w:val="22"/>
        </w:rPr>
      </w:pPr>
    </w:p>
    <w:p>
      <w:pPr>
        <w:ind w:firstLine="600" w:firstLineChars="250"/>
        <w:rPr>
          <w:rFonts w:asciiTheme="minorEastAsia" w:hAnsiTheme="minorEastAsia"/>
          <w:sz w:val="32"/>
        </w:rPr>
      </w:pPr>
      <w:r>
        <w:drawing>
          <wp:inline distT="0" distB="0" distL="114300" distR="114300">
            <wp:extent cx="4572000" cy="4370705"/>
            <wp:effectExtent l="5080" t="4445" r="13970" b="6350"/>
            <wp:docPr id="2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bookmarkStart w:id="161" w:name="_Toc28874"/>
      <w:bookmarkStart w:id="162" w:name="_Toc23342"/>
      <w:r>
        <w:rPr>
          <w:rFonts w:hint="eastAsia"/>
          <w:sz w:val="24"/>
        </w:rPr>
        <w:t>：</w:t>
      </w:r>
      <w:bookmarkEnd w:id="161"/>
      <w:r>
        <w:rPr>
          <w:rFonts w:hint="eastAsia"/>
          <w:sz w:val="24"/>
        </w:rPr>
        <w:t>亟待加强的网络安全立法内容</w:t>
      </w:r>
      <w:bookmarkEnd w:id="162"/>
    </w:p>
    <w:p>
      <w:pPr>
        <w:jc w:val="left"/>
        <w:rPr>
          <w:rFonts w:ascii="宋体" w:eastAsia="宋体"/>
          <w:szCs w:val="18"/>
        </w:rPr>
      </w:pPr>
      <w:r>
        <w:rPr>
          <w:rFonts w:hint="eastAsia" w:ascii="宋体" w:eastAsia="宋体"/>
          <w:szCs w:val="18"/>
        </w:rPr>
        <w:t>（图表数据来源：从业人员版主问卷第</w:t>
      </w:r>
      <w:r>
        <w:rPr>
          <w:rFonts w:ascii="宋体" w:eastAsia="宋体"/>
          <w:szCs w:val="18"/>
        </w:rPr>
        <w:t>16</w:t>
      </w:r>
      <w:r>
        <w:rPr>
          <w:rFonts w:hint="eastAsia" w:ascii="宋体" w:eastAsia="宋体"/>
          <w:szCs w:val="18"/>
        </w:rPr>
        <w:t>题：您认为亟待加强的网络安全立法内容有哪些？）</w:t>
      </w:r>
    </w:p>
    <w:p/>
    <w:p>
      <w:pPr>
        <w:ind w:firstLine="700" w:firstLineChars="250"/>
        <w:outlineLvl w:val="2"/>
        <w:rPr>
          <w:rFonts w:asciiTheme="minorEastAsia" w:hAnsiTheme="minorEastAsia"/>
          <w:sz w:val="28"/>
          <w:szCs w:val="28"/>
        </w:rPr>
      </w:pPr>
      <w:r>
        <w:rPr>
          <w:rFonts w:hint="eastAsia" w:asciiTheme="minorEastAsia" w:hAnsiTheme="minorEastAsia"/>
          <w:sz w:val="28"/>
          <w:szCs w:val="28"/>
        </w:rPr>
        <w:t>（4）网络安全管理部门的认知度</w:t>
      </w:r>
    </w:p>
    <w:p>
      <w:pPr>
        <w:ind w:firstLine="840" w:firstLineChars="300"/>
        <w:rPr>
          <w:b/>
          <w:bCs/>
          <w:sz w:val="28"/>
          <w:szCs w:val="28"/>
        </w:rPr>
      </w:pPr>
      <w:r>
        <w:rPr>
          <w:rFonts w:hint="eastAsia" w:asciiTheme="minorEastAsia" w:hAnsiTheme="minorEastAsia"/>
          <w:sz w:val="28"/>
          <w:szCs w:val="28"/>
        </w:rPr>
        <w:t>从业人员对网络安全管理部门的认知度排列为：网信办（65.90%）、公安（64.24%）、国安（34.93%）、工信（35.01%</w:t>
      </w:r>
      <w:r>
        <w:rPr>
          <w:rFonts w:hint="eastAsia"/>
          <w:sz w:val="28"/>
          <w:szCs w:val="28"/>
        </w:rPr>
        <w:t>）。</w:t>
      </w:r>
      <w:r>
        <w:rPr>
          <w:rFonts w:hint="eastAsia"/>
          <w:b/>
          <w:bCs/>
          <w:sz w:val="28"/>
          <w:szCs w:val="28"/>
        </w:rPr>
        <w:t>相较于河南数据排名前五位的网信、公安、国安、工信、保密一致。</w:t>
      </w:r>
    </w:p>
    <w:p>
      <w:pPr>
        <w:pStyle w:val="6"/>
        <w:ind w:firstLine="360"/>
        <w:jc w:val="center"/>
        <w:rPr>
          <w:sz w:val="24"/>
        </w:rPr>
      </w:pPr>
      <w:r>
        <w:drawing>
          <wp:inline distT="0" distB="0" distL="114300" distR="114300">
            <wp:extent cx="4572000" cy="3832860"/>
            <wp:effectExtent l="4445" t="4445" r="14605" b="10795"/>
            <wp:docPr id="3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bookmarkStart w:id="163" w:name="_Toc22629"/>
      <w:bookmarkStart w:id="164" w:name="_Toc9249"/>
      <w:r>
        <w:rPr>
          <w:rFonts w:hint="eastAsia"/>
          <w:sz w:val="24"/>
        </w:rPr>
        <w:t>：</w:t>
      </w:r>
      <w:r>
        <w:rPr>
          <w:rFonts w:ascii="Times New Roman" w:eastAsiaTheme="minorEastAsia"/>
          <w:sz w:val="24"/>
          <w:szCs w:val="24"/>
        </w:rPr>
        <w:t>网络安全的相关管理部门认知度</w:t>
      </w:r>
      <w:bookmarkEnd w:id="163"/>
      <w:bookmarkEnd w:id="164"/>
    </w:p>
    <w:p>
      <w:pPr>
        <w:jc w:val="left"/>
      </w:pPr>
      <w:r>
        <w:rPr>
          <w:rFonts w:hint="eastAsia"/>
        </w:rPr>
        <w:t>（图表数据来源：从业人员版主问卷第</w:t>
      </w:r>
      <w:r>
        <w:t>17</w:t>
      </w:r>
      <w:r>
        <w:rPr>
          <w:rFonts w:hint="eastAsia"/>
        </w:rPr>
        <w:t>题：据您了解，以下哪些部门是网络安全的相关管理部门？）</w:t>
      </w:r>
    </w:p>
    <w:p>
      <w:pPr>
        <w:jc w:val="center"/>
      </w:pPr>
    </w:p>
    <w:p>
      <w:pPr>
        <w:ind w:firstLine="420" w:firstLineChars="150"/>
        <w:outlineLvl w:val="2"/>
        <w:rPr>
          <w:sz w:val="28"/>
          <w:szCs w:val="28"/>
        </w:rPr>
      </w:pPr>
      <w:r>
        <w:rPr>
          <w:rFonts w:hint="eastAsia" w:asciiTheme="minorEastAsia" w:hAnsiTheme="minorEastAsia"/>
          <w:sz w:val="28"/>
          <w:szCs w:val="28"/>
        </w:rPr>
        <w:t>（5）网络安全监管力度</w:t>
      </w:r>
    </w:p>
    <w:p>
      <w:pPr>
        <w:ind w:firstLine="560"/>
        <w:rPr>
          <w:rFonts w:asciiTheme="minorEastAsia" w:hAnsiTheme="minorEastAsia"/>
          <w:b/>
          <w:bCs/>
          <w:sz w:val="32"/>
        </w:rPr>
      </w:pPr>
      <w:r>
        <w:rPr>
          <w:rFonts w:hint="eastAsia" w:asciiTheme="minorEastAsia" w:hAnsiTheme="minorEastAsia"/>
          <w:sz w:val="28"/>
          <w:szCs w:val="28"/>
        </w:rPr>
        <w:t>从业人员对政府有关部门对网络安全监管力度评价比较好，认为非常强占21.41</w:t>
      </w:r>
      <w:r>
        <w:rPr>
          <w:rFonts w:asciiTheme="minorEastAsia" w:hAnsiTheme="minorEastAsia"/>
          <w:sz w:val="28"/>
          <w:szCs w:val="28"/>
        </w:rPr>
        <w:t>%</w:t>
      </w:r>
      <w:r>
        <w:rPr>
          <w:rFonts w:hint="eastAsia" w:asciiTheme="minorEastAsia" w:hAnsiTheme="minorEastAsia"/>
          <w:sz w:val="28"/>
          <w:szCs w:val="28"/>
        </w:rPr>
        <w:t>，认为比较强占34.84%，即认为强的占56.25%，超过一半。认为一般有36.97%</w:t>
      </w:r>
      <w:r>
        <w:rPr>
          <w:rFonts w:hint="eastAsia" w:asciiTheme="minorEastAsia" w:hAnsiTheme="minorEastAsia"/>
          <w:sz w:val="32"/>
        </w:rPr>
        <w:t>。</w:t>
      </w:r>
      <w:r>
        <w:rPr>
          <w:rFonts w:hint="eastAsia" w:asciiTheme="minorEastAsia" w:hAnsiTheme="minorEastAsia"/>
          <w:b/>
          <w:bCs/>
          <w:sz w:val="28"/>
          <w:szCs w:val="22"/>
        </w:rPr>
        <w:t>相较于河南数据认为强的55.05，略高了1.2个百分点。</w:t>
      </w:r>
    </w:p>
    <w:p>
      <w:pPr>
        <w:pStyle w:val="6"/>
        <w:ind w:firstLine="360"/>
        <w:rPr>
          <w:rFonts w:asciiTheme="minorEastAsia" w:hAnsiTheme="minorEastAsia"/>
          <w:sz w:val="32"/>
        </w:rPr>
      </w:pPr>
      <w:r>
        <w:drawing>
          <wp:inline distT="0" distB="0" distL="114300" distR="114300">
            <wp:extent cx="4879975" cy="2521585"/>
            <wp:effectExtent l="4445" t="4445" r="11430" b="7620"/>
            <wp:docPr id="34"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18</w:t>
      </w:r>
      <w:r>
        <w:rPr>
          <w:sz w:val="24"/>
        </w:rPr>
        <w:fldChar w:fldCharType="end"/>
      </w:r>
      <w:bookmarkStart w:id="165" w:name="_Toc9828"/>
      <w:bookmarkStart w:id="166" w:name="_Toc25352"/>
      <w:r>
        <w:rPr>
          <w:rFonts w:hint="eastAsia"/>
          <w:sz w:val="24"/>
        </w:rPr>
        <w:t>：</w:t>
      </w:r>
      <w:r>
        <w:rPr>
          <w:sz w:val="24"/>
        </w:rPr>
        <w:t>政府部门网络安全监管力度评价</w:t>
      </w:r>
      <w:bookmarkEnd w:id="165"/>
      <w:bookmarkEnd w:id="166"/>
    </w:p>
    <w:p>
      <w:pPr>
        <w:jc w:val="left"/>
        <w:rPr>
          <w:rFonts w:ascii="宋体" w:eastAsia="宋体"/>
          <w:szCs w:val="18"/>
        </w:rPr>
      </w:pPr>
      <w:r>
        <w:rPr>
          <w:rFonts w:hint="eastAsia" w:ascii="宋体" w:eastAsia="宋体"/>
          <w:szCs w:val="18"/>
        </w:rPr>
        <w:t>（图表数据来源：从业人员版主问卷第18题：您认为政府相关部门在网络安全方面的监管力度如何？）</w:t>
      </w:r>
    </w:p>
    <w:p>
      <w:pPr>
        <w:rPr>
          <w:rFonts w:ascii="宋体" w:eastAsia="宋体"/>
          <w:szCs w:val="18"/>
        </w:rPr>
      </w:pPr>
    </w:p>
    <w:p>
      <w:pPr>
        <w:pStyle w:val="2"/>
      </w:pPr>
      <w:bookmarkStart w:id="167" w:name="_Toc14552"/>
      <w:bookmarkStart w:id="168" w:name="_Toc7190"/>
      <w:bookmarkStart w:id="169" w:name="_Toc48725396"/>
      <w:r>
        <w:rPr>
          <w:rFonts w:hint="eastAsia"/>
        </w:rPr>
        <w:t>五、专题分析</w:t>
      </w:r>
      <w:bookmarkEnd w:id="167"/>
      <w:bookmarkEnd w:id="168"/>
      <w:bookmarkEnd w:id="169"/>
    </w:p>
    <w:p>
      <w:pPr>
        <w:pStyle w:val="3"/>
      </w:pPr>
      <w:bookmarkStart w:id="170" w:name="_Toc48725397"/>
      <w:bookmarkStart w:id="171" w:name="_Toc27012"/>
      <w:bookmarkStart w:id="172" w:name="_Toc19207417"/>
      <w:bookmarkStart w:id="173" w:name="_Toc28513"/>
      <w:r>
        <w:rPr>
          <w:rFonts w:hint="eastAsia"/>
        </w:rPr>
        <w:t>5.1、等级保护实施与企业合规专题</w:t>
      </w:r>
      <w:bookmarkEnd w:id="170"/>
      <w:bookmarkEnd w:id="171"/>
      <w:bookmarkEnd w:id="172"/>
      <w:bookmarkEnd w:id="173"/>
    </w:p>
    <w:p>
      <w:pPr>
        <w:ind w:firstLine="700" w:firstLineChars="250"/>
        <w:rPr>
          <w:rFonts w:asciiTheme="minorEastAsia" w:hAnsiTheme="minorEastAsia"/>
          <w:sz w:val="28"/>
          <w:szCs w:val="22"/>
        </w:rPr>
      </w:pPr>
      <w:r>
        <w:rPr>
          <w:rFonts w:hint="eastAsia" w:asciiTheme="minorEastAsia" w:hAnsiTheme="minorEastAsia"/>
          <w:sz w:val="28"/>
          <w:szCs w:val="22"/>
        </w:rPr>
        <w:t>参加本专题调查的从业人员数量为1044人。</w:t>
      </w:r>
    </w:p>
    <w:p>
      <w:pPr>
        <w:ind w:firstLine="560"/>
        <w:outlineLvl w:val="2"/>
        <w:rPr>
          <w:rFonts w:asciiTheme="minorEastAsia" w:hAnsiTheme="minorEastAsia"/>
          <w:sz w:val="28"/>
          <w:szCs w:val="22"/>
        </w:rPr>
      </w:pPr>
      <w:r>
        <w:rPr>
          <w:rFonts w:hint="eastAsia" w:asciiTheme="minorEastAsia" w:hAnsiTheme="minorEastAsia"/>
          <w:sz w:val="28"/>
          <w:szCs w:val="22"/>
        </w:rPr>
        <w:t>（1）从业人员所在行业占比</w:t>
      </w:r>
    </w:p>
    <w:p>
      <w:pPr>
        <w:ind w:firstLine="560"/>
        <w:rPr>
          <w:rFonts w:asciiTheme="minorEastAsia" w:hAnsiTheme="minorEastAsia"/>
          <w:b/>
          <w:bCs/>
          <w:sz w:val="32"/>
        </w:rPr>
      </w:pPr>
      <w:r>
        <w:rPr>
          <w:rFonts w:hint="eastAsia" w:asciiTheme="minorEastAsia" w:hAnsiTheme="minorEastAsia"/>
          <w:sz w:val="28"/>
          <w:szCs w:val="22"/>
        </w:rPr>
        <w:t>参加本专题网络安全从业人员主要分布在互联网平台、通信及信息技术服务业（占25.56%）、政府部门（15.47%）、制造业（11.71%）、教育部门（10.20%）等。</w:t>
      </w:r>
      <w:r>
        <w:rPr>
          <w:rFonts w:hint="eastAsia" w:asciiTheme="minorEastAsia" w:hAnsiTheme="minorEastAsia"/>
          <w:b/>
          <w:bCs/>
          <w:sz w:val="28"/>
          <w:szCs w:val="22"/>
        </w:rPr>
        <w:t>相较于河南数据排名前五的互联网平台、通信及信息技术服务业、政府部门、制造业、教育部门应用类型一样，个别顺序不同。</w:t>
      </w:r>
    </w:p>
    <w:p>
      <w:pPr>
        <w:ind w:firstLine="700" w:firstLineChars="250"/>
        <w:rPr>
          <w:rFonts w:asciiTheme="minorEastAsia" w:hAnsiTheme="minorEastAsia"/>
          <w:sz w:val="28"/>
          <w:szCs w:val="22"/>
        </w:rPr>
      </w:pPr>
    </w:p>
    <w:p>
      <w:pPr>
        <w:jc w:val="center"/>
        <w:rPr>
          <w:rFonts w:ascii="宋体" w:eastAsia="宋体"/>
          <w:szCs w:val="18"/>
        </w:rPr>
      </w:pPr>
      <w:r>
        <w:drawing>
          <wp:inline distT="0" distB="0" distL="114300" distR="114300">
            <wp:extent cx="5274945" cy="5173980"/>
            <wp:effectExtent l="4445" t="4445" r="16510" b="22225"/>
            <wp:docPr id="3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bookmarkStart w:id="174" w:name="_Toc15599"/>
      <w:bookmarkStart w:id="175" w:name="_Toc31848"/>
      <w:r>
        <w:rPr>
          <w:rFonts w:hint="eastAsia"/>
          <w:sz w:val="24"/>
        </w:rPr>
        <w:t>：郑州</w:t>
      </w:r>
      <w:r>
        <w:rPr>
          <w:sz w:val="24"/>
        </w:rPr>
        <w:t>从业人员所在行业占比</w:t>
      </w:r>
      <w:bookmarkEnd w:id="174"/>
      <w:bookmarkEnd w:id="175"/>
    </w:p>
    <w:p>
      <w:pPr>
        <w:jc w:val="left"/>
      </w:pPr>
      <w:r>
        <w:rPr>
          <w:rFonts w:hint="eastAsia"/>
        </w:rPr>
        <w:t>（图表数据来源：从业人员版等级保护实施与企业合规专题第1题：您单位所在的行业领域是？）</w:t>
      </w:r>
    </w:p>
    <w:p>
      <w:pPr>
        <w:pStyle w:val="6"/>
        <w:rPr>
          <w:sz w:val="24"/>
        </w:rPr>
      </w:pPr>
    </w:p>
    <w:p>
      <w:pPr>
        <w:ind w:firstLine="420" w:firstLineChars="150"/>
        <w:outlineLvl w:val="2"/>
        <w:rPr>
          <w:rFonts w:asciiTheme="minorEastAsia" w:hAnsiTheme="minorEastAsia"/>
          <w:sz w:val="28"/>
        </w:rPr>
      </w:pPr>
      <w:r>
        <w:rPr>
          <w:rFonts w:hint="eastAsia" w:asciiTheme="minorEastAsia" w:hAnsiTheme="minorEastAsia"/>
          <w:sz w:val="28"/>
        </w:rPr>
        <w:t>（2）所在行业对等级保护工作指导</w:t>
      </w:r>
    </w:p>
    <w:p>
      <w:pPr>
        <w:ind w:firstLine="560"/>
        <w:rPr>
          <w:rFonts w:asciiTheme="minorEastAsia" w:hAnsiTheme="minorEastAsia"/>
          <w:b/>
          <w:bCs/>
          <w:sz w:val="28"/>
        </w:rPr>
      </w:pPr>
      <w:r>
        <w:rPr>
          <w:rFonts w:hint="eastAsia" w:asciiTheme="minorEastAsia" w:hAnsiTheme="minorEastAsia"/>
          <w:sz w:val="28"/>
        </w:rPr>
        <w:t>行业主管部门对等级保护工作的推进落实方面，74.21%的从业人员所在行业出台了具体的指导意见，其中39.55%从业人员所在行业有明确细致的指导意见，34.66%有较为简单指导意见。</w:t>
      </w:r>
      <w:r>
        <w:rPr>
          <w:rFonts w:asciiTheme="minorEastAsia" w:hAnsiTheme="minorEastAsia"/>
          <w:b/>
          <w:bCs/>
          <w:sz w:val="28"/>
        </w:rPr>
        <w:t>相较于河南数据70.89%出台了具体的指导意见，略高了3.23个百分点。</w:t>
      </w:r>
    </w:p>
    <w:p>
      <w:pPr>
        <w:pStyle w:val="6"/>
        <w:ind w:firstLine="360"/>
        <w:jc w:val="center"/>
      </w:pPr>
      <w:r>
        <w:drawing>
          <wp:inline distT="0" distB="0" distL="114300" distR="114300">
            <wp:extent cx="4987290" cy="3333750"/>
            <wp:effectExtent l="4445" t="4445" r="18415" b="14605"/>
            <wp:docPr id="7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76" w:name="_Toc19305622"/>
      <w:bookmarkStart w:id="177" w:name="_Toc19203716"/>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bookmarkStart w:id="178" w:name="_Toc9280"/>
      <w:bookmarkStart w:id="179" w:name="_Toc11245"/>
      <w:r>
        <w:rPr>
          <w:rFonts w:hint="eastAsia"/>
          <w:sz w:val="24"/>
        </w:rPr>
        <w:t>:</w:t>
      </w:r>
      <w:bookmarkEnd w:id="176"/>
      <w:bookmarkEnd w:id="177"/>
      <w:r>
        <w:rPr>
          <w:rFonts w:hint="eastAsia"/>
          <w:sz w:val="24"/>
        </w:rPr>
        <w:t>所在行业对等级保护工作指导现状</w:t>
      </w:r>
      <w:bookmarkEnd w:id="178"/>
      <w:bookmarkEnd w:id="179"/>
    </w:p>
    <w:p>
      <w:pPr>
        <w:jc w:val="left"/>
      </w:pPr>
      <w:r>
        <w:rPr>
          <w:rFonts w:hint="eastAsia"/>
        </w:rPr>
        <w:t>（图表数据来源：从业人员版等级保护实施与企业合规专题第2题：您单位所在行业是否有明确的等级保护工作指导意见（系统定级、测评周期要求、安全建设和检查）？）</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（3）网络安全对单位重要性认识</w:t>
      </w:r>
    </w:p>
    <w:p>
      <w:pPr>
        <w:pStyle w:val="6"/>
        <w:ind w:firstLine="560"/>
        <w:rPr>
          <w:rFonts w:asciiTheme="minorEastAsia" w:hAnsiTheme="minorEastAsia" w:eastAsiaTheme="minorEastAsia"/>
          <w:sz w:val="28"/>
          <w:szCs w:val="22"/>
        </w:rPr>
      </w:pPr>
      <w:r>
        <w:rPr>
          <w:rFonts w:hint="eastAsia" w:asciiTheme="minorEastAsia" w:hAnsiTheme="minorEastAsia" w:eastAsiaTheme="minorEastAsia"/>
          <w:sz w:val="28"/>
          <w:szCs w:val="22"/>
        </w:rPr>
        <w:t>网络安全对单位的重要性认识方面，绝大部分（92.7%）从业人员认为重要和非常重要，64.71%从业人员认为非常重要，27.99%从业人员认为重要。</w:t>
      </w:r>
      <w:r>
        <w:rPr>
          <w:rFonts w:hint="eastAsia" w:asciiTheme="minorEastAsia" w:hAnsiTheme="minorEastAsia"/>
          <w:b/>
          <w:bCs/>
          <w:sz w:val="28"/>
        </w:rPr>
        <w:t>相较于河南数据</w:t>
      </w:r>
      <w:r>
        <w:rPr>
          <w:rFonts w:asciiTheme="minorEastAsia" w:hAnsiTheme="minorEastAsia"/>
          <w:b/>
          <w:bCs/>
          <w:sz w:val="28"/>
        </w:rPr>
        <w:t>87.41%的</w:t>
      </w:r>
      <w:r>
        <w:rPr>
          <w:rFonts w:hint="eastAsia" w:asciiTheme="minorEastAsia" w:hAnsiTheme="minorEastAsia" w:eastAsiaTheme="minorEastAsia"/>
          <w:b/>
          <w:bCs/>
          <w:sz w:val="28"/>
          <w:szCs w:val="22"/>
        </w:rPr>
        <w:t>认为重要和非常重要</w:t>
      </w:r>
      <w:r>
        <w:rPr>
          <w:rFonts w:asciiTheme="minorEastAsia" w:hAnsiTheme="minorEastAsia"/>
          <w:b/>
          <w:bCs/>
          <w:sz w:val="28"/>
        </w:rPr>
        <w:t>，高了5.29个百分点。</w:t>
      </w:r>
    </w:p>
    <w:p>
      <w:pPr>
        <w:pStyle w:val="6"/>
        <w:ind w:firstLine="360"/>
        <w:jc w:val="center"/>
        <w:rPr>
          <w:rFonts w:asciiTheme="minorEastAsia" w:hAnsiTheme="minorEastAsia" w:eastAsiaTheme="minorEastAsia"/>
          <w:sz w:val="32"/>
          <w:szCs w:val="24"/>
        </w:rPr>
      </w:pPr>
      <w:r>
        <w:drawing>
          <wp:inline distT="0" distB="0" distL="114300" distR="114300">
            <wp:extent cx="4940935" cy="3182620"/>
            <wp:effectExtent l="4445" t="4445" r="7620" b="13335"/>
            <wp:docPr id="7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EastAsia" w:hAnsiTheme="minorEastAsia" w:eastAsiaTheme="minorEastAsia" w:cstheme="minorEastAsia"/>
          <w:sz w:val="24"/>
        </w:rPr>
      </w:pPr>
      <w:bookmarkStart w:id="180" w:name="_Toc19305623"/>
      <w:bookmarkStart w:id="181" w:name="_Toc19203717"/>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bookmarkStart w:id="182" w:name="_Toc27777"/>
      <w:bookmarkStart w:id="183" w:name="_Toc2708"/>
      <w:r>
        <w:rPr>
          <w:rFonts w:hint="eastAsia" w:asciiTheme="minorEastAsia" w:hAnsiTheme="minorEastAsia" w:eastAsiaTheme="minorEastAsia" w:cstheme="minorEastAsia"/>
          <w:sz w:val="24"/>
        </w:rPr>
        <w:t>：</w:t>
      </w:r>
      <w:bookmarkEnd w:id="180"/>
      <w:bookmarkEnd w:id="181"/>
      <w:r>
        <w:rPr>
          <w:rFonts w:hint="eastAsia" w:asciiTheme="minorEastAsia" w:hAnsiTheme="minorEastAsia" w:eastAsiaTheme="minorEastAsia" w:cstheme="minorEastAsia"/>
          <w:sz w:val="24"/>
        </w:rPr>
        <w:t>网络安全对单位重要性认识</w:t>
      </w:r>
      <w:bookmarkEnd w:id="182"/>
      <w:bookmarkEnd w:id="183"/>
    </w:p>
    <w:p>
      <w:pPr>
        <w:jc w:val="left"/>
        <w:rPr>
          <w:rFonts w:asciiTheme="minorEastAsia" w:hAnsiTheme="minorEastAsia" w:cstheme="minorEastAsia"/>
        </w:rPr>
      </w:pPr>
      <w:r>
        <w:rPr>
          <w:rFonts w:hint="eastAsia" w:asciiTheme="minorEastAsia" w:hAnsiTheme="minorEastAsia" w:cstheme="minorEastAsia"/>
        </w:rPr>
        <w:t>（图表数据来源：从业人员版等级保护实施与企业合规专题第3题：您认为网络安全对您所在单位来说重要吗？）</w:t>
      </w:r>
    </w:p>
    <w:p>
      <w:pPr>
        <w:ind w:firstLine="560"/>
        <w:jc w:val="center"/>
        <w:rPr>
          <w:rFonts w:asciiTheme="minorEastAsia" w:hAnsiTheme="minorEastAsia" w:cstheme="minorEastAsia"/>
          <w:sz w:val="28"/>
          <w:szCs w:val="28"/>
        </w:rPr>
      </w:pPr>
    </w:p>
    <w:p>
      <w:pPr>
        <w:ind w:firstLine="420" w:firstLineChars="150"/>
        <w:outlineLvl w:val="2"/>
        <w:rPr>
          <w:rFonts w:asciiTheme="minorEastAsia" w:hAnsiTheme="minorEastAsia"/>
          <w:sz w:val="28"/>
          <w:szCs w:val="28"/>
        </w:rPr>
      </w:pPr>
      <w:r>
        <w:rPr>
          <w:rFonts w:hint="eastAsia" w:asciiTheme="minorEastAsia" w:hAnsiTheme="minorEastAsia"/>
          <w:sz w:val="28"/>
          <w:szCs w:val="28"/>
        </w:rPr>
        <w:t>（4）所在单位安全状况</w:t>
      </w:r>
    </w:p>
    <w:p>
      <w:pPr>
        <w:ind w:firstLine="560"/>
        <w:rPr>
          <w:rFonts w:asciiTheme="minorEastAsia" w:hAnsiTheme="minorEastAsia"/>
          <w:sz w:val="28"/>
          <w:szCs w:val="28"/>
        </w:rPr>
      </w:pPr>
      <w:r>
        <w:rPr>
          <w:rFonts w:hint="eastAsia" w:asciiTheme="minorEastAsia" w:hAnsiTheme="minorEastAsia"/>
          <w:sz w:val="28"/>
          <w:szCs w:val="28"/>
        </w:rPr>
        <w:t>从业人员对所在单位安全状况的了解方面，31%从业人员表示非常了解，58%从业人员表示大概知道，只有11%从业人员表示完全不清楚。</w:t>
      </w:r>
      <w:r>
        <w:rPr>
          <w:rFonts w:hint="eastAsia" w:asciiTheme="minorEastAsia" w:hAnsiTheme="minorEastAsia"/>
          <w:b/>
          <w:bCs/>
          <w:sz w:val="28"/>
          <w:szCs w:val="28"/>
        </w:rPr>
        <w:t>相较于河南数据各选项占比基本一致。</w:t>
      </w:r>
    </w:p>
    <w:p>
      <w:pPr>
        <w:jc w:val="left"/>
      </w:pPr>
      <w:r>
        <w:drawing>
          <wp:inline distT="0" distB="0" distL="114300" distR="114300">
            <wp:extent cx="4870450" cy="2684145"/>
            <wp:effectExtent l="4445" t="5080" r="20955" b="15875"/>
            <wp:docPr id="7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图表</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SEQ 图表 \* ARABIC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rPr>
        <w:fldChar w:fldCharType="end"/>
      </w:r>
      <w:bookmarkStart w:id="184" w:name="_Toc17820"/>
      <w:bookmarkStart w:id="185" w:name="_Toc4382"/>
      <w:r>
        <w:rPr>
          <w:rFonts w:hint="eastAsia" w:asciiTheme="minorEastAsia" w:hAnsiTheme="minorEastAsia" w:eastAsiaTheme="minorEastAsia" w:cstheme="minorEastAsia"/>
          <w:sz w:val="24"/>
        </w:rPr>
        <w:t>：对单位安全管理状况的了解</w:t>
      </w:r>
      <w:bookmarkEnd w:id="184"/>
      <w:bookmarkEnd w:id="185"/>
    </w:p>
    <w:p>
      <w:pPr>
        <w:jc w:val="left"/>
        <w:rPr>
          <w:rFonts w:asciiTheme="minorEastAsia" w:hAnsiTheme="minorEastAsia" w:cstheme="minorEastAsia"/>
          <w:lang w:bidi="ar"/>
        </w:rPr>
      </w:pPr>
      <w:r>
        <w:rPr>
          <w:rFonts w:hint="eastAsia" w:asciiTheme="minorEastAsia" w:hAnsiTheme="minorEastAsia" w:cstheme="minorEastAsia"/>
          <w:lang w:bidi="ar"/>
        </w:rPr>
        <w:t>（图表数据来源：从业人员版等级保护实施与企业合规专题第4题：您是否了解所在单位的网络安全现状？）</w:t>
      </w:r>
    </w:p>
    <w:p>
      <w:pPr>
        <w:jc w:val="center"/>
        <w:rPr>
          <w:rFonts w:ascii="Calibri" w:hAnsi="Calibri" w:eastAsia="宋体" w:cs="宋体"/>
          <w:lang w:bidi="ar"/>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1</w:t>
      </w:r>
      <w:r>
        <w:rPr>
          <w:rFonts w:hint="eastAsia" w:asciiTheme="minorEastAsia" w:hAnsiTheme="minorEastAsia"/>
          <w:sz w:val="28"/>
          <w:szCs w:val="22"/>
        </w:rPr>
        <w:t>）所在单位安全管理状况评价</w:t>
      </w:r>
    </w:p>
    <w:p>
      <w:pPr>
        <w:ind w:firstLine="560"/>
        <w:rPr>
          <w:rFonts w:asciiTheme="minorEastAsia" w:hAnsiTheme="minorEastAsia"/>
          <w:sz w:val="32"/>
        </w:rPr>
      </w:pPr>
      <w:r>
        <w:rPr>
          <w:rFonts w:hint="eastAsia" w:asciiTheme="minorEastAsia" w:hAnsiTheme="minorEastAsia"/>
          <w:sz w:val="28"/>
          <w:szCs w:val="22"/>
        </w:rPr>
        <w:t>从业人员对所在单位安全管理状况满意度评价方面，74.60</w:t>
      </w:r>
      <w:r>
        <w:rPr>
          <w:rFonts w:asciiTheme="minorEastAsia" w:hAnsiTheme="minorEastAsia"/>
          <w:sz w:val="28"/>
          <w:szCs w:val="22"/>
        </w:rPr>
        <w:t>%</w:t>
      </w:r>
      <w:r>
        <w:rPr>
          <w:rFonts w:hint="eastAsia" w:asciiTheme="minorEastAsia" w:hAnsiTheme="minorEastAsia"/>
          <w:sz w:val="28"/>
          <w:szCs w:val="22"/>
        </w:rPr>
        <w:t>从业人员表示满意或非常满意，其中44.97</w:t>
      </w:r>
      <w:r>
        <w:rPr>
          <w:rFonts w:asciiTheme="minorEastAsia" w:hAnsiTheme="minorEastAsia"/>
          <w:sz w:val="28"/>
          <w:szCs w:val="22"/>
        </w:rPr>
        <w:t>%</w:t>
      </w:r>
      <w:r>
        <w:rPr>
          <w:rFonts w:hint="eastAsia" w:asciiTheme="minorEastAsia" w:hAnsiTheme="minorEastAsia"/>
          <w:sz w:val="28"/>
          <w:szCs w:val="22"/>
        </w:rPr>
        <w:t>从业人员表示满意，29.63</w:t>
      </w:r>
      <w:r>
        <w:rPr>
          <w:rFonts w:asciiTheme="minorEastAsia" w:hAnsiTheme="minorEastAsia"/>
          <w:sz w:val="28"/>
          <w:szCs w:val="22"/>
        </w:rPr>
        <w:t>%</w:t>
      </w:r>
      <w:r>
        <w:rPr>
          <w:rFonts w:hint="eastAsia" w:asciiTheme="minorEastAsia" w:hAnsiTheme="minorEastAsia"/>
          <w:sz w:val="28"/>
          <w:szCs w:val="22"/>
        </w:rPr>
        <w:t>从业人员表示非常满意。</w:t>
      </w:r>
      <w:r>
        <w:rPr>
          <w:rFonts w:hint="eastAsia" w:asciiTheme="minorEastAsia" w:hAnsiTheme="minorEastAsia"/>
          <w:b/>
          <w:bCs/>
          <w:sz w:val="28"/>
          <w:szCs w:val="22"/>
        </w:rPr>
        <w:t>相较于河南数据72.97%从业人员感到满意或非常满意略高1.63个百分点</w:t>
      </w:r>
    </w:p>
    <w:p>
      <w:pPr>
        <w:jc w:val="center"/>
      </w:pPr>
      <w:r>
        <w:drawing>
          <wp:inline distT="0" distB="0" distL="114300" distR="114300">
            <wp:extent cx="4857750" cy="3171825"/>
            <wp:effectExtent l="4445" t="4445" r="14605" b="5080"/>
            <wp:docPr id="8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23</w:t>
      </w:r>
      <w:r>
        <w:rPr>
          <w:rFonts w:hint="eastAsia" w:hAnsi="Calibri" w:cs="Times New Roman"/>
          <w:kern w:val="2"/>
          <w:sz w:val="18"/>
          <w:szCs w:val="18"/>
          <w:lang w:bidi="ar"/>
        </w:rPr>
        <w:fldChar w:fldCharType="end"/>
      </w:r>
      <w:bookmarkStart w:id="186" w:name="_Toc21501"/>
      <w:bookmarkStart w:id="187" w:name="_Toc12691"/>
      <w:r>
        <w:rPr>
          <w:rFonts w:hint="eastAsia" w:hAnsi="Calibri" w:cs="Times New Roman"/>
          <w:kern w:val="2"/>
          <w:szCs w:val="18"/>
          <w:lang w:bidi="ar"/>
        </w:rPr>
        <w:t>：所在单位网络安全管理状况满意度评价</w:t>
      </w:r>
      <w:bookmarkEnd w:id="186"/>
      <w:bookmarkEnd w:id="187"/>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4.1</w:t>
      </w:r>
      <w:r>
        <w:rPr>
          <w:rFonts w:hint="eastAsia" w:ascii="Calibri" w:hAnsi="Calibri" w:eastAsia="宋体" w:cs="宋体"/>
          <w:lang w:bidi="ar"/>
        </w:rPr>
        <w:t>题：您对所在单位的网络安全管理状况是否满意：）</w:t>
      </w:r>
    </w:p>
    <w:p>
      <w:pPr>
        <w:ind w:firstLine="560"/>
        <w:rPr>
          <w:rFonts w:asciiTheme="minorEastAsia" w:hAnsiTheme="minorEastAsia"/>
          <w:sz w:val="28"/>
          <w:szCs w:val="22"/>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）所在单位安全管理存在问题</w:t>
      </w:r>
    </w:p>
    <w:p>
      <w:pPr>
        <w:ind w:firstLine="560"/>
        <w:rPr>
          <w:rFonts w:asciiTheme="minorEastAsia" w:hAnsiTheme="minorEastAsia"/>
          <w:sz w:val="32"/>
        </w:rPr>
      </w:pPr>
      <w:r>
        <w:rPr>
          <w:rFonts w:hint="eastAsia" w:asciiTheme="minorEastAsia" w:hAnsiTheme="minorEastAsia"/>
          <w:sz w:val="28"/>
          <w:szCs w:val="22"/>
        </w:rPr>
        <w:t>从业人员对所在单位安全管理需要改善的地方主要方面，前五位分别是</w:t>
      </w:r>
      <w:r>
        <w:rPr>
          <w:rFonts w:asciiTheme="minorEastAsia" w:hAnsiTheme="minorEastAsia"/>
          <w:sz w:val="28"/>
          <w:szCs w:val="22"/>
        </w:rPr>
        <w:t>1</w:t>
      </w:r>
      <w:r>
        <w:rPr>
          <w:rFonts w:hint="eastAsia" w:asciiTheme="minorEastAsia" w:hAnsiTheme="minorEastAsia"/>
          <w:sz w:val="28"/>
          <w:szCs w:val="22"/>
        </w:rPr>
        <w:t>管理层网络安全意识（60.18</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人才队伍（52.49</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3</w:t>
      </w:r>
      <w:r>
        <w:rPr>
          <w:rFonts w:hint="eastAsia" w:asciiTheme="minorEastAsia" w:hAnsiTheme="minorEastAsia"/>
          <w:sz w:val="28"/>
          <w:szCs w:val="22"/>
        </w:rPr>
        <w:t>规章制度（52.04</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监测评估（49.32</w:t>
      </w:r>
      <w:r>
        <w:rPr>
          <w:rFonts w:asciiTheme="minorEastAsia" w:hAnsiTheme="minorEastAsia"/>
          <w:sz w:val="28"/>
          <w:szCs w:val="22"/>
        </w:rPr>
        <w:t>%</w:t>
      </w:r>
      <w:r>
        <w:rPr>
          <w:rFonts w:hint="eastAsia" w:asciiTheme="minorEastAsia" w:hAnsiTheme="minorEastAsia"/>
          <w:sz w:val="28"/>
          <w:szCs w:val="22"/>
        </w:rPr>
        <w:t>）、5安全运维能力（47.51</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sz w:val="32"/>
        </w:rPr>
        <w:t>。</w:t>
      </w:r>
      <w:r>
        <w:rPr>
          <w:rFonts w:hint="eastAsia" w:asciiTheme="minorEastAsia" w:hAnsiTheme="minorEastAsia"/>
          <w:b/>
          <w:bCs/>
          <w:sz w:val="28"/>
          <w:szCs w:val="22"/>
        </w:rPr>
        <w:t>相较于河南数据排名前五位的管理层网络安全意识、规章制度、标准规范、监测评估、人才队伍应用类型有所变化。</w:t>
      </w:r>
    </w:p>
    <w:p>
      <w:pPr>
        <w:jc w:val="center"/>
      </w:pPr>
      <w:r>
        <w:drawing>
          <wp:inline distT="0" distB="0" distL="114300" distR="114300">
            <wp:extent cx="5273675" cy="3258820"/>
            <wp:effectExtent l="4445" t="4445" r="17780" b="13335"/>
            <wp:docPr id="3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24</w:t>
      </w:r>
      <w:r>
        <w:fldChar w:fldCharType="end"/>
      </w:r>
      <w:bookmarkStart w:id="188" w:name="_Toc13791"/>
      <w:bookmarkStart w:id="189" w:name="_Toc17565"/>
      <w:r>
        <w:rPr>
          <w:rFonts w:hint="eastAsia" w:ascii="宋体" w:hAnsi="Calibri" w:eastAsia="宋体"/>
          <w:sz w:val="18"/>
          <w:szCs w:val="18"/>
          <w:lang w:bidi="ar"/>
        </w:rPr>
        <w:t>：</w:t>
      </w:r>
      <w:r>
        <w:rPr>
          <w:rFonts w:hint="eastAsia"/>
        </w:rPr>
        <w:t>所在单位的网络安全管理需要改善的地方</w:t>
      </w:r>
      <w:bookmarkEnd w:id="188"/>
      <w:bookmarkEnd w:id="189"/>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4.2</w:t>
      </w:r>
      <w:r>
        <w:rPr>
          <w:rFonts w:hint="eastAsia" w:ascii="Calibri" w:hAnsi="Calibri" w:eastAsia="宋体" w:cs="宋体"/>
          <w:lang w:bidi="ar"/>
        </w:rPr>
        <w:t>题：您认为单位的网络安全管理在哪些方面需要改善？）</w:t>
      </w:r>
    </w:p>
    <w:p>
      <w:pPr>
        <w:ind w:firstLine="640"/>
        <w:rPr>
          <w:rFonts w:asciiTheme="minorEastAsia" w:hAnsiTheme="minorEastAsia"/>
          <w:sz w:val="32"/>
        </w:rPr>
      </w:pPr>
    </w:p>
    <w:p>
      <w:pPr>
        <w:ind w:firstLine="840" w:firstLineChars="300"/>
        <w:outlineLvl w:val="2"/>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）网络安全保护专门机构设置</w:t>
      </w:r>
    </w:p>
    <w:p>
      <w:pPr>
        <w:ind w:firstLine="840" w:firstLineChars="300"/>
        <w:rPr>
          <w:sz w:val="28"/>
          <w:szCs w:val="28"/>
        </w:rPr>
      </w:pPr>
      <w:r>
        <w:rPr>
          <w:rFonts w:hint="eastAsia" w:asciiTheme="minorEastAsia" w:hAnsiTheme="minorEastAsia"/>
          <w:sz w:val="28"/>
          <w:szCs w:val="28"/>
        </w:rPr>
        <w:t>68%从业人员所在单位设置了网络安全专门机构，16</w:t>
      </w:r>
      <w:r>
        <w:rPr>
          <w:rFonts w:asciiTheme="minorEastAsia" w:hAnsiTheme="minorEastAsia"/>
          <w:sz w:val="28"/>
          <w:szCs w:val="28"/>
        </w:rPr>
        <w:t>%</w:t>
      </w:r>
      <w:r>
        <w:rPr>
          <w:rFonts w:hint="eastAsia" w:asciiTheme="minorEastAsia" w:hAnsiTheme="minorEastAsia"/>
          <w:sz w:val="28"/>
          <w:szCs w:val="28"/>
        </w:rPr>
        <w:t>的从业人员单位没有设置专门的网络安全保护机构。</w:t>
      </w:r>
      <w:r>
        <w:rPr>
          <w:rFonts w:hint="eastAsia" w:asciiTheme="minorEastAsia" w:hAnsiTheme="minorEastAsia"/>
          <w:b/>
          <w:bCs/>
          <w:sz w:val="28"/>
          <w:szCs w:val="28"/>
        </w:rPr>
        <w:t>相较于河南数据64.65%设置了网络安全专门机构，高了3.45个百分点。</w:t>
      </w:r>
    </w:p>
    <w:p>
      <w:pPr>
        <w:jc w:val="center"/>
      </w:pPr>
      <w:r>
        <w:drawing>
          <wp:inline distT="0" distB="0" distL="114300" distR="114300">
            <wp:extent cx="4572000" cy="2743200"/>
            <wp:effectExtent l="4445" t="4445" r="14605" b="14605"/>
            <wp:docPr id="8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25</w:t>
      </w:r>
      <w:r>
        <w:fldChar w:fldCharType="end"/>
      </w:r>
      <w:bookmarkStart w:id="190" w:name="_Toc31652"/>
      <w:bookmarkStart w:id="191" w:name="_Toc15110"/>
      <w:r>
        <w:rPr>
          <w:rFonts w:hint="eastAsia" w:ascii="宋体" w:hAnsi="Calibri" w:eastAsia="宋体"/>
          <w:sz w:val="18"/>
          <w:szCs w:val="18"/>
          <w:lang w:bidi="ar"/>
        </w:rPr>
        <w:t>：</w:t>
      </w:r>
      <w:r>
        <w:rPr>
          <w:rFonts w:hint="eastAsia"/>
        </w:rPr>
        <w:t>所在单位网络安全保护专门机构设置情况</w:t>
      </w:r>
      <w:bookmarkEnd w:id="190"/>
      <w:bookmarkEnd w:id="191"/>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w:t>
      </w:r>
      <w:r>
        <w:rPr>
          <w:rFonts w:hint="eastAsia" w:ascii="Calibri" w:hAnsi="Calibri" w:eastAsia="宋体" w:cs="宋体"/>
          <w:lang w:bidi="ar"/>
        </w:rPr>
        <w:t>题：您所在单位是否有网络安全保护专门机构？）</w:t>
      </w:r>
    </w:p>
    <w:p>
      <w:pPr>
        <w:ind w:firstLine="560"/>
        <w:jc w:val="center"/>
        <w:rPr>
          <w:rFonts w:asciiTheme="minorEastAsia" w:hAnsiTheme="minorEastAsia"/>
          <w:sz w:val="28"/>
          <w:szCs w:val="28"/>
        </w:rPr>
      </w:pPr>
    </w:p>
    <w:p>
      <w:pPr>
        <w:ind w:firstLine="140" w:firstLineChars="5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）单位网络安全责任人落实情况</w:t>
      </w:r>
    </w:p>
    <w:p>
      <w:pPr>
        <w:ind w:firstLine="420" w:firstLineChars="150"/>
        <w:rPr>
          <w:rFonts w:ascii="Calibri" w:hAnsi="Calibri" w:cs="宋体"/>
          <w:b/>
          <w:bCs/>
          <w:sz w:val="28"/>
          <w:szCs w:val="28"/>
          <w:lang w:bidi="ar"/>
        </w:rPr>
      </w:pPr>
      <w:r>
        <w:rPr>
          <w:rFonts w:hint="eastAsia" w:asciiTheme="minorEastAsia" w:hAnsiTheme="minorEastAsia"/>
          <w:sz w:val="28"/>
          <w:szCs w:val="28"/>
        </w:rPr>
        <w:t>73%从业人员所在单位落实了网络安全责任人，11</w:t>
      </w:r>
      <w:r>
        <w:rPr>
          <w:rFonts w:asciiTheme="minorEastAsia" w:hAnsiTheme="minorEastAsia"/>
          <w:sz w:val="28"/>
          <w:szCs w:val="28"/>
        </w:rPr>
        <w:t>%</w:t>
      </w:r>
      <w:r>
        <w:rPr>
          <w:rFonts w:hint="eastAsia" w:asciiTheme="minorEastAsia" w:hAnsiTheme="minorEastAsia"/>
          <w:sz w:val="28"/>
          <w:szCs w:val="28"/>
        </w:rPr>
        <w:t>的从业人员单位没有落实。</w:t>
      </w:r>
      <w:r>
        <w:rPr>
          <w:rFonts w:hint="eastAsia" w:asciiTheme="minorEastAsia" w:hAnsiTheme="minorEastAsia"/>
          <w:b/>
          <w:bCs/>
          <w:sz w:val="28"/>
          <w:szCs w:val="28"/>
        </w:rPr>
        <w:t>相较于河南数据70.25%从业人员所在单位落实了网络安全负责人略高了2.75个百分点。</w:t>
      </w:r>
    </w:p>
    <w:p>
      <w:pPr>
        <w:jc w:val="center"/>
        <w:rPr>
          <w:rFonts w:ascii="Calibri" w:hAnsi="Calibri" w:eastAsia="宋体" w:cs="宋体"/>
          <w:lang w:bidi="ar"/>
        </w:rPr>
      </w:pPr>
      <w:r>
        <w:drawing>
          <wp:inline distT="0" distB="0" distL="114300" distR="114300">
            <wp:extent cx="4572000" cy="2743200"/>
            <wp:effectExtent l="4445" t="4445" r="14605" b="14605"/>
            <wp:docPr id="8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26</w:t>
      </w:r>
      <w:r>
        <w:fldChar w:fldCharType="end"/>
      </w:r>
      <w:bookmarkStart w:id="192" w:name="_Toc24384"/>
      <w:bookmarkStart w:id="193" w:name="_Toc4234"/>
      <w:r>
        <w:rPr>
          <w:rFonts w:hint="eastAsia" w:ascii="宋体" w:hAnsi="Calibri" w:eastAsia="宋体"/>
          <w:sz w:val="18"/>
          <w:szCs w:val="18"/>
          <w:lang w:bidi="ar"/>
        </w:rPr>
        <w:t>：</w:t>
      </w:r>
      <w:r>
        <w:rPr>
          <w:rFonts w:hint="eastAsia"/>
        </w:rPr>
        <w:t>所在单位网络安全保护专门机构设置情况</w:t>
      </w:r>
      <w:bookmarkEnd w:id="192"/>
      <w:bookmarkEnd w:id="193"/>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5.1</w:t>
      </w:r>
      <w:r>
        <w:rPr>
          <w:rFonts w:hint="eastAsia" w:ascii="Calibri" w:hAnsi="Calibri" w:eastAsia="宋体" w:cs="宋体"/>
          <w:lang w:bidi="ar"/>
        </w:rPr>
        <w:t>题：您所在单位是否明确了网络安全责任人？）</w:t>
      </w:r>
    </w:p>
    <w:p>
      <w:pPr>
        <w:ind w:firstLine="640"/>
        <w:jc w:val="center"/>
        <w:rPr>
          <w:rFonts w:asciiTheme="minorEastAsia" w:hAnsiTheme="minorEastAsia"/>
          <w:sz w:val="32"/>
        </w:rPr>
      </w:pPr>
    </w:p>
    <w:p>
      <w:pPr>
        <w:ind w:firstLine="140" w:firstLineChars="50"/>
        <w:outlineLvl w:val="2"/>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6</w:t>
      </w:r>
      <w:r>
        <w:rPr>
          <w:rFonts w:hint="eastAsia" w:asciiTheme="minorEastAsia" w:hAnsiTheme="minorEastAsia"/>
          <w:sz w:val="28"/>
          <w:szCs w:val="22"/>
        </w:rPr>
        <w:t>）所在单位网络安全经费预算落实情况</w:t>
      </w:r>
    </w:p>
    <w:p>
      <w:pPr>
        <w:ind w:firstLine="420" w:firstLineChars="150"/>
        <w:rPr>
          <w:rFonts w:asciiTheme="minorEastAsia" w:hAnsiTheme="minorEastAsia"/>
          <w:sz w:val="28"/>
          <w:szCs w:val="22"/>
        </w:rPr>
      </w:pPr>
      <w:r>
        <w:rPr>
          <w:rFonts w:hint="eastAsia" w:asciiTheme="minorEastAsia" w:hAnsiTheme="minorEastAsia"/>
          <w:sz w:val="28"/>
          <w:szCs w:val="22"/>
        </w:rPr>
        <w:t>57</w:t>
      </w:r>
      <w:r>
        <w:rPr>
          <w:rFonts w:asciiTheme="minorEastAsia" w:hAnsiTheme="minorEastAsia"/>
          <w:sz w:val="28"/>
          <w:szCs w:val="22"/>
        </w:rPr>
        <w:t>%</w:t>
      </w:r>
      <w:r>
        <w:rPr>
          <w:rFonts w:hint="eastAsia" w:asciiTheme="minorEastAsia" w:hAnsiTheme="minorEastAsia"/>
          <w:sz w:val="28"/>
          <w:szCs w:val="22"/>
        </w:rPr>
        <w:t>从业人员所在单位落实了网络安全经费预算，14</w:t>
      </w:r>
      <w:r>
        <w:rPr>
          <w:rFonts w:asciiTheme="minorEastAsia" w:hAnsiTheme="minorEastAsia"/>
          <w:sz w:val="28"/>
          <w:szCs w:val="22"/>
        </w:rPr>
        <w:t>%</w:t>
      </w:r>
      <w:r>
        <w:rPr>
          <w:rFonts w:hint="eastAsia" w:asciiTheme="minorEastAsia" w:hAnsiTheme="minorEastAsia"/>
          <w:sz w:val="28"/>
          <w:szCs w:val="22"/>
        </w:rPr>
        <w:t>的从业人员单位没有落实。</w:t>
      </w:r>
      <w:r>
        <w:rPr>
          <w:rFonts w:hint="eastAsia" w:asciiTheme="minorEastAsia" w:hAnsiTheme="minorEastAsia"/>
          <w:b/>
          <w:bCs/>
          <w:sz w:val="28"/>
          <w:szCs w:val="22"/>
        </w:rPr>
        <w:t>相较于河南数据53.09%从业人员所在单位落实了网络安全经费预算高了3.91个百分点。</w:t>
      </w:r>
    </w:p>
    <w:p>
      <w:pPr>
        <w:jc w:val="center"/>
      </w:pPr>
      <w:r>
        <w:drawing>
          <wp:inline distT="0" distB="0" distL="114300" distR="114300">
            <wp:extent cx="4572000" cy="2743200"/>
            <wp:effectExtent l="4445" t="4445" r="14605" b="14605"/>
            <wp:docPr id="8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194" w:name="_Toc19203721"/>
      <w:bookmarkStart w:id="195" w:name="_Toc19305627"/>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27</w:t>
      </w:r>
      <w:r>
        <w:fldChar w:fldCharType="end"/>
      </w:r>
      <w:bookmarkStart w:id="196" w:name="_Toc26910"/>
      <w:bookmarkStart w:id="197" w:name="_Toc26000"/>
      <w:r>
        <w:rPr>
          <w:rFonts w:hint="eastAsia" w:hAnsi="Calibri" w:cs="Times New Roman"/>
          <w:kern w:val="2"/>
          <w:szCs w:val="18"/>
          <w:lang w:bidi="ar"/>
        </w:rPr>
        <w:t>：</w:t>
      </w:r>
      <w:bookmarkEnd w:id="194"/>
      <w:bookmarkEnd w:id="195"/>
      <w:r>
        <w:rPr>
          <w:rFonts w:hint="eastAsia" w:hAnsi="Calibri" w:cs="Times New Roman"/>
          <w:kern w:val="2"/>
          <w:szCs w:val="18"/>
          <w:lang w:bidi="ar"/>
        </w:rPr>
        <w:t>所在单位网络安全经费预算落实情况</w:t>
      </w:r>
      <w:bookmarkEnd w:id="196"/>
      <w:bookmarkEnd w:id="197"/>
    </w:p>
    <w:p>
      <w:pPr>
        <w:jc w:val="left"/>
      </w:pPr>
      <w:r>
        <w:rPr>
          <w:rFonts w:hint="eastAsia" w:ascii="Calibri" w:hAnsi="Calibri" w:eastAsia="宋体"/>
          <w:lang w:bidi="ar"/>
        </w:rPr>
        <w:t>（图表数据来源：从业人员版等级保护实施与企业合规专题第</w:t>
      </w:r>
      <w:r>
        <w:rPr>
          <w:rFonts w:ascii="Calibri" w:hAnsi="Calibri" w:eastAsia="宋体"/>
          <w:lang w:bidi="ar"/>
        </w:rPr>
        <w:t>6</w:t>
      </w:r>
      <w:r>
        <w:rPr>
          <w:rFonts w:hint="eastAsia" w:ascii="Calibri" w:hAnsi="Calibri" w:eastAsia="宋体"/>
          <w:lang w:bidi="ar"/>
        </w:rPr>
        <w:t>题：您所在单位是否有网络安全相关的经费预算？）</w:t>
      </w:r>
    </w:p>
    <w:p>
      <w:pPr>
        <w:jc w:val="cente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（7）对企业网络安全合规要求的认识</w:t>
      </w:r>
    </w:p>
    <w:p>
      <w:pPr>
        <w:ind w:firstLine="560"/>
        <w:rPr>
          <w:b/>
          <w:bCs/>
        </w:rPr>
      </w:pPr>
      <w:r>
        <w:rPr>
          <w:rFonts w:hint="eastAsia" w:asciiTheme="minorEastAsia" w:hAnsiTheme="minorEastAsia" w:cstheme="minorEastAsia"/>
          <w:sz w:val="28"/>
          <w:szCs w:val="28"/>
          <w:lang w:bidi="ar"/>
        </w:rPr>
        <w:t>从业人员对企业网络安全合规要求认识有所提高，认为企业合规应遵循的法规认知度前5位分别为：1《中华人民共和国网络安全法》（85.744%）、2《计算机信息系统安全保护条例》（67.82%）、3《信息安全等级保护管理办法》（65.78%）、4《互联网信息服务管理办法》（58.35%）、5《国家安全法》（49.80%）。</w:t>
      </w:r>
      <w:r>
        <w:rPr>
          <w:rFonts w:hint="eastAsia" w:asciiTheme="minorEastAsia" w:hAnsiTheme="minorEastAsia" w:cstheme="minorEastAsia"/>
          <w:b/>
          <w:bCs/>
          <w:sz w:val="28"/>
          <w:szCs w:val="28"/>
          <w:lang w:bidi="ar"/>
        </w:rPr>
        <w:t>相较于河南数据排名前五位的应用类型是一致的。</w:t>
      </w:r>
    </w:p>
    <w:p>
      <w:pPr>
        <w:jc w:val="center"/>
      </w:pPr>
      <w:r>
        <w:drawing>
          <wp:inline distT="0" distB="0" distL="114300" distR="114300">
            <wp:extent cx="5408930" cy="4220210"/>
            <wp:effectExtent l="4445" t="4445" r="15875" b="23495"/>
            <wp:docPr id="3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28</w:t>
      </w:r>
      <w:r>
        <w:fldChar w:fldCharType="end"/>
      </w:r>
      <w:bookmarkStart w:id="198" w:name="_Toc12060"/>
      <w:bookmarkStart w:id="199" w:name="_Toc17748"/>
      <w:r>
        <w:rPr>
          <w:rFonts w:hint="eastAsia" w:hAnsi="Calibri" w:cs="Times New Roman"/>
          <w:kern w:val="2"/>
          <w:szCs w:val="18"/>
          <w:lang w:bidi="ar"/>
        </w:rPr>
        <w:t>：对企业网络安全合规应遵循法规的认识</w:t>
      </w:r>
      <w:bookmarkEnd w:id="198"/>
      <w:bookmarkEnd w:id="199"/>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7</w:t>
      </w:r>
      <w:r>
        <w:rPr>
          <w:rFonts w:hint="eastAsia" w:ascii="Calibri" w:hAnsi="Calibri" w:eastAsia="宋体" w:cs="宋体"/>
          <w:lang w:bidi="ar"/>
        </w:rPr>
        <w:t>题：据您了解，您所在企业网络安全合规应遵循哪些要求？）</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w:t>
      </w:r>
      <w:bookmarkStart w:id="200" w:name="_Hlk48555527"/>
      <w:r>
        <w:rPr>
          <w:rFonts w:hint="eastAsia" w:asciiTheme="minorEastAsia" w:hAnsiTheme="minorEastAsia" w:cstheme="minorEastAsia"/>
          <w:sz w:val="28"/>
          <w:szCs w:val="28"/>
          <w:lang w:bidi="ar"/>
        </w:rPr>
        <w:t>政府部门提供的网络安全服务对行业的帮助</w:t>
      </w:r>
      <w:bookmarkEnd w:id="200"/>
    </w:p>
    <w:p>
      <w:pPr>
        <w:ind w:firstLine="560"/>
        <w:rPr>
          <w:b/>
          <w:bCs/>
        </w:rPr>
      </w:pPr>
      <w:r>
        <w:rPr>
          <w:rFonts w:hint="eastAsia" w:asciiTheme="minorEastAsia" w:hAnsiTheme="minorEastAsia" w:cstheme="minorEastAsia"/>
          <w:sz w:val="28"/>
          <w:szCs w:val="28"/>
          <w:lang w:bidi="ar"/>
        </w:rPr>
        <w:t>从业人员对政府部门提供的网络安全服务对行业的帮助的有效性评价前5位分别为：1知识普及（77.55%）、2教育培训（59.69%）、3监督检查（50.71%）、4信息查询（49.90%）、5安全通报和风险提示（48.98%）。大部分从业人员认为这些服务对行业有帮助。</w:t>
      </w:r>
      <w:r>
        <w:rPr>
          <w:rFonts w:hint="eastAsia" w:asciiTheme="minorEastAsia" w:hAnsiTheme="minorEastAsia" w:cstheme="minorEastAsia"/>
          <w:b/>
          <w:bCs/>
          <w:sz w:val="28"/>
          <w:szCs w:val="28"/>
          <w:lang w:bidi="ar"/>
        </w:rPr>
        <w:t>较于河南数据排名前五位的应用类型是一致的。</w:t>
      </w:r>
    </w:p>
    <w:p>
      <w:pPr>
        <w:ind w:firstLine="560"/>
        <w:rPr>
          <w:rFonts w:asciiTheme="minorEastAsia" w:hAnsiTheme="minorEastAsia" w:cstheme="minorEastAsia"/>
          <w:sz w:val="28"/>
          <w:szCs w:val="28"/>
        </w:rPr>
      </w:pPr>
    </w:p>
    <w:p>
      <w:pPr>
        <w:jc w:val="center"/>
        <w:rPr>
          <w:rFonts w:ascii="Calibri" w:hAnsi="Calibri" w:eastAsia="宋体" w:cs="宋体"/>
          <w:lang w:bidi="ar"/>
        </w:rPr>
      </w:pPr>
      <w:r>
        <w:drawing>
          <wp:inline distT="0" distB="0" distL="114300" distR="114300">
            <wp:extent cx="5278120" cy="4076700"/>
            <wp:effectExtent l="4445" t="4445" r="13335" b="14605"/>
            <wp:docPr id="3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29</w:t>
      </w:r>
      <w:r>
        <w:fldChar w:fldCharType="end"/>
      </w:r>
      <w:bookmarkStart w:id="201" w:name="_Toc7201"/>
      <w:bookmarkStart w:id="202" w:name="_Toc28397"/>
      <w:r>
        <w:rPr>
          <w:rFonts w:hint="eastAsia" w:hAnsi="Calibri" w:cs="Times New Roman"/>
          <w:kern w:val="2"/>
          <w:szCs w:val="18"/>
          <w:lang w:bidi="ar"/>
        </w:rPr>
        <w:t>：政府提供的网络安全服务对行业帮助的有效性评价</w:t>
      </w:r>
      <w:bookmarkEnd w:id="201"/>
      <w:bookmarkEnd w:id="202"/>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8</w:t>
      </w:r>
      <w:r>
        <w:rPr>
          <w:rFonts w:hint="eastAsia" w:ascii="Calibri" w:hAnsi="Calibri" w:eastAsia="宋体" w:cs="宋体"/>
          <w:lang w:bidi="ar"/>
        </w:rPr>
        <w:t>题：您认为政府部门提供的哪些网络安全服务对行业有较大帮助？）</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（9）从业人员网络安全培训情况</w:t>
      </w:r>
    </w:p>
    <w:p>
      <w:pPr>
        <w:ind w:firstLine="560"/>
        <w:rPr>
          <w:b/>
          <w:bCs/>
        </w:rPr>
      </w:pPr>
      <w:r>
        <w:rPr>
          <w:rFonts w:hint="eastAsia" w:asciiTheme="minorEastAsia" w:hAnsiTheme="minorEastAsia" w:cstheme="minorEastAsia"/>
          <w:sz w:val="28"/>
          <w:szCs w:val="28"/>
          <w:lang w:bidi="ar"/>
        </w:rPr>
        <w:t>从业人员接受过网络安全培训最多前三位是本单位组织的培训（57.41%）、政府部门组织的培训（35.55%）、专业机构培训（26.86%）。但也有19.61%的从业人员从未接受过培训。</w:t>
      </w:r>
      <w:r>
        <w:rPr>
          <w:rFonts w:hint="eastAsia" w:asciiTheme="minorEastAsia" w:hAnsiTheme="minorEastAsia" w:cstheme="minorEastAsia"/>
          <w:b/>
          <w:bCs/>
          <w:sz w:val="28"/>
          <w:szCs w:val="28"/>
          <w:lang w:bidi="ar"/>
        </w:rPr>
        <w:t>较于河南数据排名前三位的应用类型是一致的。</w:t>
      </w:r>
    </w:p>
    <w:p>
      <w:pPr>
        <w:ind w:firstLine="720" w:firstLineChars="300"/>
        <w:outlineLvl w:val="2"/>
        <w:rPr>
          <w:rFonts w:asciiTheme="minorEastAsia" w:hAnsiTheme="minorEastAsia" w:cstheme="minorEastAsia"/>
          <w:lang w:bidi="ar"/>
        </w:rPr>
      </w:pPr>
    </w:p>
    <w:p>
      <w:pPr>
        <w:jc w:val="center"/>
      </w:pPr>
      <w:r>
        <w:drawing>
          <wp:inline distT="0" distB="0" distL="114300" distR="114300">
            <wp:extent cx="4962525" cy="3254375"/>
            <wp:effectExtent l="4445" t="4445" r="5080" b="17780"/>
            <wp:docPr id="4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szCs w:val="18"/>
          <w:lang w:bidi="ar"/>
        </w:rPr>
      </w:pPr>
      <w:r>
        <w:rPr>
          <w:rFonts w:hint="eastAsia" w:asciiTheme="minorEastAsia" w:hAnsiTheme="minorEastAsia" w:eastAsiaTheme="minorEastAsia" w:cstheme="minorEastAsia"/>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30</w:t>
      </w:r>
      <w:r>
        <w:fldChar w:fldCharType="end"/>
      </w:r>
      <w:bookmarkStart w:id="203" w:name="_Toc1746"/>
      <w:bookmarkStart w:id="204" w:name="_Toc17896"/>
      <w:r>
        <w:rPr>
          <w:rFonts w:hint="eastAsia" w:asciiTheme="minorEastAsia" w:hAnsiTheme="minorEastAsia" w:eastAsiaTheme="minorEastAsia" w:cstheme="minorEastAsia"/>
          <w:kern w:val="2"/>
          <w:szCs w:val="18"/>
          <w:lang w:bidi="ar"/>
        </w:rPr>
        <w:t>：政府提供的网络安全服务对行业帮助的有效性评价</w:t>
      </w:r>
      <w:bookmarkEnd w:id="203"/>
      <w:bookmarkEnd w:id="204"/>
    </w:p>
    <w:p>
      <w:pPr>
        <w:pStyle w:val="14"/>
        <w:widowControl w:val="0"/>
        <w:adjustRightInd w:val="0"/>
        <w:snapToGrid w:val="0"/>
        <w:spacing w:before="0" w:beforeAutospacing="0" w:after="0" w:afterAutospacing="0" w:line="360" w:lineRule="auto"/>
        <w:ind w:firstLine="480" w:firstLineChars="200"/>
        <w:rPr>
          <w:rFonts w:asciiTheme="minorEastAsia" w:hAnsiTheme="minorEastAsia" w:eastAsiaTheme="minorEastAsia" w:cstheme="minorEastAsia"/>
          <w:kern w:val="2"/>
          <w:lang w:bidi="ar"/>
        </w:rPr>
      </w:pPr>
      <w:r>
        <w:rPr>
          <w:rFonts w:hint="eastAsia" w:asciiTheme="minorEastAsia" w:hAnsiTheme="minorEastAsia" w:eastAsiaTheme="minorEastAsia" w:cstheme="minorEastAsia"/>
          <w:kern w:val="2"/>
          <w:lang w:bidi="ar"/>
        </w:rPr>
        <w:t>（图表数据来源：从业人员版等级保护实施与企业合规专题第9题：在过去的一年里，您接受过哪些网络安全培训？）</w:t>
      </w:r>
    </w:p>
    <w:p>
      <w:pPr>
        <w:pStyle w:val="14"/>
        <w:widowControl w:val="0"/>
        <w:adjustRightInd w:val="0"/>
        <w:snapToGrid w:val="0"/>
        <w:spacing w:before="0" w:beforeAutospacing="0" w:after="0" w:afterAutospacing="0" w:line="360" w:lineRule="auto"/>
        <w:ind w:firstLine="560" w:firstLineChars="200"/>
        <w:jc w:val="center"/>
        <w:rPr>
          <w:rFonts w:asciiTheme="minorEastAsia" w:hAnsiTheme="minorEastAsia" w:eastAsiaTheme="minorEastAsia" w:cstheme="minorEastAsia"/>
          <w:kern w:val="2"/>
          <w:sz w:val="28"/>
          <w:szCs w:val="28"/>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（9.1）对网络安全“三化”概念的认识</w:t>
      </w:r>
    </w:p>
    <w:p>
      <w:pPr>
        <w:ind w:firstLine="840" w:firstLineChars="300"/>
        <w:rPr>
          <w:rFonts w:asciiTheme="minorEastAsia" w:hAnsiTheme="minorEastAsia" w:cstheme="minorEastAsia"/>
          <w:b/>
          <w:bCs/>
          <w:sz w:val="28"/>
          <w:szCs w:val="28"/>
        </w:rPr>
      </w:pPr>
      <w:r>
        <w:rPr>
          <w:rFonts w:hint="eastAsia" w:asciiTheme="minorEastAsia" w:hAnsiTheme="minorEastAsia" w:cstheme="minorEastAsia"/>
          <w:sz w:val="28"/>
          <w:szCs w:val="28"/>
          <w:lang w:bidi="ar"/>
        </w:rPr>
        <w:t>从业人员对公安机关提出的网络安全“三化”认识度为体系化（70.99%）、规范化（67.85%）、常态化（66.70%）。</w:t>
      </w:r>
      <w:r>
        <w:rPr>
          <w:rFonts w:hint="eastAsia" w:asciiTheme="minorEastAsia" w:hAnsiTheme="minorEastAsia" w:cstheme="minorEastAsia"/>
          <w:b/>
          <w:bCs/>
          <w:sz w:val="28"/>
          <w:szCs w:val="28"/>
          <w:lang w:bidi="ar"/>
        </w:rPr>
        <w:t>相较于河南数据实战化、体系化占比基本一致，常态化、规范化则分别相差1.55个百分点和1.15个百分点。</w:t>
      </w:r>
    </w:p>
    <w:p>
      <w:pPr>
        <w:pStyle w:val="14"/>
        <w:widowControl w:val="0"/>
        <w:adjustRightInd w:val="0"/>
        <w:snapToGrid w:val="0"/>
        <w:spacing w:before="0" w:beforeAutospacing="0" w:after="0" w:afterAutospacing="0" w:line="360" w:lineRule="auto"/>
        <w:ind w:firstLine="480" w:firstLineChars="200"/>
        <w:jc w:val="center"/>
      </w:pPr>
      <w:r>
        <w:drawing>
          <wp:inline distT="0" distB="0" distL="114300" distR="114300">
            <wp:extent cx="4572000" cy="2743200"/>
            <wp:effectExtent l="4445" t="4445" r="14605" b="14605"/>
            <wp:docPr id="4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31</w:t>
      </w:r>
      <w:r>
        <w:fldChar w:fldCharType="end"/>
      </w:r>
      <w:bookmarkStart w:id="205" w:name="_Toc10255"/>
      <w:bookmarkStart w:id="206" w:name="_Toc8098"/>
      <w:r>
        <w:rPr>
          <w:rFonts w:hint="eastAsia" w:hAnsi="Calibri" w:cs="Times New Roman"/>
          <w:kern w:val="2"/>
          <w:szCs w:val="18"/>
          <w:lang w:bidi="ar"/>
        </w:rPr>
        <w:t>：从业人员对网络安全“三化”概念的认识</w:t>
      </w:r>
      <w:bookmarkEnd w:id="205"/>
      <w:bookmarkEnd w:id="206"/>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9.1</w:t>
      </w:r>
      <w:r>
        <w:rPr>
          <w:rFonts w:hint="eastAsia" w:ascii="Calibri" w:hAnsi="Calibri" w:eastAsia="宋体" w:cs="宋体"/>
          <w:lang w:bidi="ar"/>
        </w:rPr>
        <w:t>题：您知道</w:t>
      </w:r>
      <w:bookmarkStart w:id="207" w:name="_Hlk48557135"/>
      <w:r>
        <w:rPr>
          <w:rFonts w:hint="eastAsia" w:ascii="Calibri" w:hAnsi="Calibri" w:eastAsia="宋体" w:cs="宋体"/>
          <w:lang w:bidi="ar"/>
        </w:rPr>
        <w:t>公安机关提出的网络安全“三化”具体是指哪些方面</w:t>
      </w:r>
      <w:bookmarkEnd w:id="207"/>
      <w:r>
        <w:rPr>
          <w:rFonts w:hint="eastAsia" w:ascii="Calibri" w:hAnsi="Calibri" w:eastAsia="宋体" w:cs="宋体"/>
          <w:lang w:bidi="ar"/>
        </w:rPr>
        <w:t>？）</w:t>
      </w:r>
    </w:p>
    <w:p>
      <w:pP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（9.2）对网络安全“六防”措施的认识</w:t>
      </w:r>
    </w:p>
    <w:p>
      <w:pPr>
        <w:widowControl/>
        <w:adjustRightInd/>
        <w:snapToGrid/>
        <w:ind w:firstLine="560"/>
        <w:rPr>
          <w:rFonts w:asciiTheme="minorEastAsia" w:hAnsiTheme="minorEastAsia" w:cstheme="minorEastAsia"/>
          <w:b/>
          <w:bCs/>
          <w:sz w:val="28"/>
          <w:szCs w:val="28"/>
          <w:lang w:bidi="ar"/>
        </w:rPr>
      </w:pPr>
      <w:r>
        <w:rPr>
          <w:rFonts w:hint="eastAsia" w:asciiTheme="minorEastAsia" w:hAnsiTheme="minorEastAsia" w:cstheme="minorEastAsia"/>
          <w:sz w:val="28"/>
          <w:szCs w:val="28"/>
          <w:lang w:bidi="ar"/>
        </w:rPr>
        <w:t>从业人员对公安机关提出的网络安全“六防”措施的认识度为动态防御（87.63%）、主动防御（82.73%）、精准防护（80.28%）、纵深防御（79.21%）、联防联控（76.83%）、整体防控（77.08%）。</w:t>
      </w:r>
      <w:r>
        <w:rPr>
          <w:rFonts w:hint="eastAsia" w:asciiTheme="minorEastAsia" w:hAnsiTheme="minorEastAsia" w:cstheme="minorEastAsia"/>
          <w:b/>
          <w:bCs/>
          <w:sz w:val="28"/>
          <w:szCs w:val="28"/>
          <w:lang w:bidi="ar"/>
        </w:rPr>
        <w:t>相较于河南数据精准防护的占比是基本一致，其他占比相差不大。</w:t>
      </w:r>
    </w:p>
    <w:p>
      <w:pPr>
        <w:jc w:val="center"/>
      </w:pPr>
    </w:p>
    <w:p>
      <w:pPr>
        <w:jc w:val="center"/>
      </w:pPr>
      <w:r>
        <w:drawing>
          <wp:inline distT="0" distB="0" distL="114300" distR="114300">
            <wp:extent cx="4709795" cy="2933700"/>
            <wp:effectExtent l="5080" t="4445" r="9525" b="14605"/>
            <wp:docPr id="4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rPr>
          <w:rFonts w:asciiTheme="minorEastAsia" w:hAnsiTheme="minorEastAsia" w:cstheme="minorEastAsia"/>
        </w:rPr>
      </w:pPr>
      <w:r>
        <w:rPr>
          <w:rFonts w:hint="eastAsia" w:asciiTheme="minorEastAsia" w:hAnsiTheme="minorEastAsia" w:cs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32</w:t>
      </w:r>
      <w:r>
        <w:fldChar w:fldCharType="end"/>
      </w:r>
      <w:bookmarkStart w:id="208" w:name="_Toc25449"/>
      <w:bookmarkStart w:id="209" w:name="_Toc28559"/>
      <w:r>
        <w:rPr>
          <w:rFonts w:hint="eastAsia" w:asciiTheme="minorEastAsia" w:hAnsiTheme="minorEastAsia" w:cstheme="minorEastAsia"/>
        </w:rPr>
        <w:t>：对网络安全“六防”措施的认识</w:t>
      </w:r>
      <w:bookmarkEnd w:id="208"/>
      <w:bookmarkEnd w:id="209"/>
    </w:p>
    <w:p>
      <w:pPr>
        <w:jc w:val="left"/>
        <w:rPr>
          <w:rFonts w:asciiTheme="minorEastAsia" w:hAnsiTheme="minorEastAsia" w:cstheme="minorEastAsia"/>
          <w:sz w:val="28"/>
          <w:szCs w:val="28"/>
          <w:lang w:bidi="ar"/>
        </w:rPr>
      </w:pPr>
      <w:r>
        <w:rPr>
          <w:rFonts w:hint="eastAsia" w:asciiTheme="minorEastAsia" w:hAnsiTheme="minorEastAsia" w:cstheme="minorEastAsia"/>
          <w:lang w:bidi="ar"/>
        </w:rPr>
        <w:t>（图表数据来源：从业人员版等级保护实施与企业合规专题第9.2题：您知道公安机关提出的网络安全“六防”措施具体是什</w:t>
      </w:r>
      <w:r>
        <w:rPr>
          <w:rFonts w:hint="eastAsia" w:asciiTheme="minorEastAsia" w:hAnsiTheme="minorEastAsia" w:cstheme="minorEastAsia"/>
          <w:sz w:val="28"/>
          <w:szCs w:val="28"/>
          <w:lang w:bidi="ar"/>
        </w:rPr>
        <w:t>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（10）网络安全等级保护制度的了解</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对网络安全等级保护制度了解方面，35%从业人员表示了解，43%从业人员表示知道等级保护，但不了解等级保护2.0，完全不了解的占22%。</w:t>
      </w:r>
      <w:r>
        <w:rPr>
          <w:rFonts w:hint="eastAsia" w:asciiTheme="minorEastAsia" w:hAnsiTheme="minorEastAsia" w:cstheme="minorEastAsia"/>
          <w:b/>
          <w:bCs/>
          <w:sz w:val="28"/>
          <w:szCs w:val="28"/>
          <w:lang w:bidi="ar"/>
        </w:rPr>
        <w:t>相较于河南数据43.16%从业人员知道等级保护，但不了解等级保护2.0基本一致。</w:t>
      </w:r>
    </w:p>
    <w:p>
      <w:pPr>
        <w:jc w:val="center"/>
      </w:pPr>
      <w:r>
        <w:drawing>
          <wp:inline distT="0" distB="0" distL="114300" distR="114300">
            <wp:extent cx="4572000" cy="2743200"/>
            <wp:effectExtent l="4445" t="4445" r="14605" b="14605"/>
            <wp:docPr id="9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33</w:t>
      </w:r>
      <w:r>
        <w:fldChar w:fldCharType="end"/>
      </w:r>
      <w:bookmarkStart w:id="210" w:name="_Toc30360"/>
      <w:bookmarkStart w:id="211" w:name="_Toc21533"/>
      <w:r>
        <w:rPr>
          <w:rFonts w:hint="eastAsia" w:hAnsi="Calibri" w:cs="Times New Roman"/>
          <w:kern w:val="2"/>
          <w:szCs w:val="18"/>
          <w:lang w:bidi="ar"/>
        </w:rPr>
        <w:t>：对网络安全等级保护制度2.0标准的了解</w:t>
      </w:r>
      <w:bookmarkEnd w:id="210"/>
      <w:bookmarkEnd w:id="211"/>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10</w:t>
      </w:r>
      <w:r>
        <w:rPr>
          <w:rFonts w:hint="eastAsia" w:ascii="Calibri" w:hAnsi="Calibri" w:eastAsia="宋体" w:cs="宋体"/>
          <w:lang w:bidi="ar"/>
        </w:rPr>
        <w:t>题：您了解网络安全等级保护制度</w:t>
      </w:r>
      <w:r>
        <w:rPr>
          <w:rFonts w:ascii="Calibri" w:hAnsi="Calibri" w:eastAsia="宋体"/>
          <w:lang w:bidi="ar"/>
        </w:rPr>
        <w:t>2.0</w:t>
      </w:r>
      <w:r>
        <w:rPr>
          <w:rFonts w:hint="eastAsia" w:ascii="Calibri" w:hAnsi="Calibri" w:eastAsia="宋体" w:cs="宋体"/>
          <w:lang w:bidi="ar"/>
        </w:rPr>
        <w:t>国家标准的要求吗？）</w:t>
      </w:r>
    </w:p>
    <w:p>
      <w:pPr>
        <w:jc w:val="cente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（10.1）网络安全等级保护对产业、企业发展的推动作用</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网络安全等级保护对产业、企业发展的推动作用方面，60.87%从业人员表示作用很大，25.68%从业人员表示比较大，即86.55%从业人员认为推动作用很大或比较大。</w:t>
      </w:r>
      <w:r>
        <w:rPr>
          <w:rFonts w:hint="eastAsia" w:asciiTheme="minorEastAsia" w:hAnsiTheme="minorEastAsia" w:cstheme="minorEastAsia"/>
          <w:b/>
          <w:bCs/>
          <w:sz w:val="28"/>
          <w:szCs w:val="28"/>
          <w:lang w:bidi="ar"/>
        </w:rPr>
        <w:t>相较于河南数据占比基本保持一致。</w:t>
      </w:r>
    </w:p>
    <w:p>
      <w:pPr>
        <w:jc w:val="center"/>
      </w:pPr>
      <w:r>
        <w:drawing>
          <wp:inline distT="0" distB="0" distL="114300" distR="114300">
            <wp:extent cx="4572000" cy="2743200"/>
            <wp:effectExtent l="4445" t="4445" r="14605" b="14605"/>
            <wp:docPr id="4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34</w:t>
      </w:r>
      <w:r>
        <w:rPr>
          <w:rFonts w:hint="eastAsia" w:hAnsi="Calibri" w:cs="Times New Roman"/>
          <w:kern w:val="2"/>
          <w:sz w:val="18"/>
          <w:szCs w:val="18"/>
          <w:lang w:bidi="ar"/>
        </w:rPr>
        <w:fldChar w:fldCharType="end"/>
      </w:r>
      <w:bookmarkStart w:id="212" w:name="_Toc32357"/>
      <w:bookmarkStart w:id="213" w:name="_Toc25383"/>
      <w:r>
        <w:rPr>
          <w:rFonts w:hint="eastAsia" w:hAnsi="Calibri" w:cs="Times New Roman"/>
          <w:kern w:val="2"/>
          <w:szCs w:val="18"/>
          <w:lang w:bidi="ar"/>
        </w:rPr>
        <w:t>：网络安全等级保护对产业、企业发展的推动作用</w:t>
      </w:r>
      <w:bookmarkEnd w:id="212"/>
      <w:bookmarkEnd w:id="213"/>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10.1</w:t>
      </w:r>
      <w:r>
        <w:rPr>
          <w:rFonts w:hint="eastAsia" w:ascii="Calibri" w:hAnsi="Calibri" w:eastAsia="宋体" w:cs="宋体"/>
          <w:lang w:bidi="ar"/>
        </w:rPr>
        <w:t>题：您认为网络安全等级保护对产业、企业发展的推动作用如何？）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（11）单位网络安全等级保护开展情况</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从业人员所在单位网络安全等级保护开展方面，56.48%从业人员所在单位做了信息系统定级备案，48.15%开展了信息系统安全建设整改，48.05%开展了网络安全自查，46.60%进行了信息系统安全测评，但仍有9.16%从业人员所在单位没有进行过网络安全等级保护工作。</w:t>
      </w:r>
      <w:r>
        <w:rPr>
          <w:rFonts w:hint="eastAsia" w:asciiTheme="minorEastAsia" w:hAnsiTheme="minorEastAsia" w:cstheme="minorEastAsia"/>
          <w:b/>
          <w:bCs/>
          <w:sz w:val="28"/>
          <w:szCs w:val="28"/>
          <w:lang w:bidi="ar"/>
        </w:rPr>
        <w:t>相较于河南数据排名前四位的信息系统定级备案、信息系统安全建设整改、开展网络安全自查、信息系统安全测评应用类型一样，仅个别顺序不同。</w:t>
      </w:r>
    </w:p>
    <w:p>
      <w:pPr>
        <w:jc w:val="center"/>
      </w:pPr>
      <w:r>
        <w:drawing>
          <wp:inline distT="0" distB="0" distL="114300" distR="114300">
            <wp:extent cx="5143500" cy="2914650"/>
            <wp:effectExtent l="4445" t="4445" r="14605" b="14605"/>
            <wp:docPr id="4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35</w:t>
      </w:r>
      <w:r>
        <w:rPr>
          <w:rFonts w:hint="eastAsia" w:hAnsi="Calibri" w:cs="Times New Roman"/>
          <w:kern w:val="2"/>
          <w:sz w:val="18"/>
          <w:szCs w:val="18"/>
          <w:lang w:bidi="ar"/>
        </w:rPr>
        <w:fldChar w:fldCharType="end"/>
      </w:r>
      <w:bookmarkStart w:id="214" w:name="_Toc15691"/>
      <w:bookmarkStart w:id="215" w:name="_Toc371"/>
      <w:r>
        <w:rPr>
          <w:rFonts w:hint="eastAsia" w:asciiTheme="minorEastAsia" w:hAnsiTheme="minorEastAsia" w:eastAsiaTheme="minorEastAsia" w:cstheme="minorEastAsia"/>
          <w:kern w:val="2"/>
          <w:szCs w:val="18"/>
          <w:lang w:bidi="ar"/>
        </w:rPr>
        <w:t>：所在单位网络安全等级保护开展情况</w:t>
      </w:r>
      <w:bookmarkEnd w:id="214"/>
      <w:bookmarkEnd w:id="215"/>
    </w:p>
    <w:p>
      <w:pPr>
        <w:rPr>
          <w:rFonts w:asciiTheme="minorEastAsia" w:hAnsiTheme="minorEastAsia" w:cstheme="minorEastAsia"/>
        </w:rPr>
      </w:pPr>
      <w:r>
        <w:rPr>
          <w:rFonts w:hint="eastAsia" w:asciiTheme="minorEastAsia" w:hAnsiTheme="minorEastAsia" w:cstheme="minorEastAsia"/>
          <w:lang w:bidi="ar"/>
        </w:rPr>
        <w:t>（图表数据来源：从业人员版等级保护实施与企业合规专题第11题：您所在单位是否进行过以下网络安全等级保护工作？）</w:t>
      </w:r>
    </w:p>
    <w:p>
      <w:pPr>
        <w:ind w:firstLine="560"/>
        <w:rPr>
          <w:rFonts w:asciiTheme="minorEastAsia" w:hAnsiTheme="minorEastAsia" w:cstheme="minorEastAsia"/>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（11．1）测评机构服务满意度评价</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对网络安全测评机构服务满意评价方面，42.27%从业人员评价为满意，38.86%从业人员评价为非常满意，合计81.13%从业人员对测评服务表示满意和非常满意，认为一般的有17.73%。</w:t>
      </w:r>
      <w:r>
        <w:rPr>
          <w:rFonts w:hint="eastAsia" w:asciiTheme="minorEastAsia" w:hAnsiTheme="minorEastAsia" w:cstheme="minorEastAsia"/>
          <w:b/>
          <w:bCs/>
          <w:sz w:val="28"/>
          <w:szCs w:val="28"/>
          <w:lang w:bidi="ar"/>
        </w:rPr>
        <w:t>相较于河南数据79.67从业人员对测评服务表示满意和非常满意的占比略高1.64个百分点。</w:t>
      </w:r>
    </w:p>
    <w:p>
      <w:pPr>
        <w:jc w:val="center"/>
      </w:pPr>
      <w:r>
        <w:drawing>
          <wp:inline distT="0" distB="0" distL="114300" distR="114300">
            <wp:extent cx="4931410" cy="2880995"/>
            <wp:effectExtent l="5080" t="4445" r="16510" b="10160"/>
            <wp:docPr id="10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36</w:t>
      </w:r>
      <w:r>
        <w:rPr>
          <w:rFonts w:hint="eastAsia" w:hAnsi="Calibri" w:cs="Times New Roman"/>
          <w:kern w:val="2"/>
          <w:sz w:val="18"/>
          <w:szCs w:val="18"/>
          <w:lang w:bidi="ar"/>
        </w:rPr>
        <w:fldChar w:fldCharType="end"/>
      </w:r>
      <w:bookmarkStart w:id="216" w:name="_Toc589"/>
      <w:bookmarkStart w:id="217" w:name="_Toc23839"/>
      <w:r>
        <w:rPr>
          <w:rFonts w:hint="eastAsia" w:hAnsi="Calibri" w:cs="Times New Roman"/>
          <w:kern w:val="2"/>
          <w:szCs w:val="18"/>
          <w:lang w:bidi="ar"/>
        </w:rPr>
        <w:t>：对测评机构服务满意度评价</w:t>
      </w:r>
      <w:bookmarkEnd w:id="216"/>
      <w:bookmarkEnd w:id="217"/>
    </w:p>
    <w:p>
      <w:r>
        <w:rPr>
          <w:rFonts w:hint="eastAsia" w:ascii="Calibri" w:hAnsi="Calibri" w:eastAsia="宋体" w:cs="宋体"/>
          <w:lang w:bidi="ar"/>
        </w:rPr>
        <w:t>（图表数据来源：从业人员版等级保护实施与企业合规专题第</w:t>
      </w:r>
      <w:r>
        <w:rPr>
          <w:rFonts w:ascii="Calibri" w:hAnsi="Calibri" w:eastAsia="宋体"/>
          <w:lang w:bidi="ar"/>
        </w:rPr>
        <w:t>11.1</w:t>
      </w:r>
      <w:r>
        <w:rPr>
          <w:rFonts w:hint="eastAsia" w:ascii="Calibri" w:hAnsi="Calibri" w:eastAsia="宋体" w:cs="宋体"/>
          <w:lang w:bidi="ar"/>
        </w:rPr>
        <w:t>题：您对测评机构进行测评工作的满意度评价如何？）</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（11.2）对测评服务不满意的原因</w:t>
      </w: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对测评服务不满意的原因方面：专业能力欠缺，收费不合理，整改措施不切实际，过程复杂效率低为主要原因。</w:t>
      </w:r>
    </w:p>
    <w:p>
      <w:pPr>
        <w:ind w:firstLine="560"/>
        <w:rPr>
          <w:rFonts w:asciiTheme="minorEastAsia" w:hAnsiTheme="minorEastAsia" w:cstheme="minorEastAsia"/>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（12）单位发生网络安全事件情况</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从业人员所在单位发生网络安全事件方面，19%从业人员所在单位发生过网络安全事件，54%没有发生过网络安全事件，还有27%从业人员表示不清楚。</w:t>
      </w:r>
      <w:r>
        <w:rPr>
          <w:rFonts w:hint="eastAsia" w:asciiTheme="minorEastAsia" w:hAnsiTheme="minorEastAsia" w:cstheme="minorEastAsia"/>
          <w:b/>
          <w:bCs/>
          <w:sz w:val="28"/>
          <w:szCs w:val="28"/>
          <w:lang w:bidi="ar"/>
        </w:rPr>
        <w:t>相较于河南数据54.16%没有发生过网络安全事件的占比基本一致。</w:t>
      </w:r>
    </w:p>
    <w:p>
      <w:pPr>
        <w:jc w:val="center"/>
      </w:pPr>
      <w:r>
        <w:drawing>
          <wp:inline distT="0" distB="0" distL="114300" distR="114300">
            <wp:extent cx="4572000" cy="2743200"/>
            <wp:effectExtent l="4445" t="4445" r="14605" b="14605"/>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37</w:t>
      </w:r>
      <w:r>
        <w:rPr>
          <w:rFonts w:hint="eastAsia" w:hAnsi="Calibri" w:cs="Times New Roman"/>
          <w:kern w:val="2"/>
          <w:sz w:val="18"/>
          <w:szCs w:val="18"/>
          <w:lang w:bidi="ar"/>
        </w:rPr>
        <w:fldChar w:fldCharType="end"/>
      </w:r>
      <w:bookmarkStart w:id="218" w:name="_Toc18957"/>
      <w:bookmarkStart w:id="219" w:name="_Toc6571"/>
      <w:r>
        <w:rPr>
          <w:rFonts w:hint="eastAsia" w:hAnsi="Calibri" w:cs="Times New Roman"/>
          <w:kern w:val="2"/>
          <w:szCs w:val="18"/>
          <w:lang w:bidi="ar"/>
        </w:rPr>
        <w:t>：所在单位发生网络安全事件</w:t>
      </w:r>
      <w:bookmarkEnd w:id="218"/>
      <w:bookmarkEnd w:id="219"/>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w:t>
      </w:r>
      <w:r>
        <w:rPr>
          <w:rFonts w:hint="eastAsia" w:ascii="Calibri" w:hAnsi="Calibri" w:eastAsia="宋体" w:cs="宋体"/>
          <w:lang w:bidi="ar"/>
        </w:rPr>
        <w:t>题：您所在单位发生过网络安全事件吗？）</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（12．1）单位发生网络安全事件种类</w:t>
      </w:r>
    </w:p>
    <w:p>
      <w:pPr>
        <w:ind w:firstLine="560"/>
        <w:rPr>
          <w:rFonts w:asciiTheme="minorEastAsia" w:hAnsiTheme="minorEastAsia"/>
          <w:sz w:val="28"/>
          <w:szCs w:val="22"/>
        </w:rPr>
      </w:pPr>
      <w:r>
        <w:rPr>
          <w:rFonts w:hint="eastAsia" w:asciiTheme="minorEastAsia" w:hAnsiTheme="minorEastAsia" w:cstheme="minorEastAsia"/>
          <w:sz w:val="28"/>
          <w:szCs w:val="28"/>
          <w:lang w:bidi="ar"/>
        </w:rPr>
        <w:t>对所在单位发生的网络安全事件方面，在发生过安全事件的单位中59.12%从业人员所在单位发生过单位网站被攻击，35.91%从业人员单位发生过感染病毒或恶意程序，33.15%发生过网站被挂马或植入暗链，32.60%发生过网络和信息系统瘫痪。</w:t>
      </w:r>
      <w:r>
        <w:rPr>
          <w:rFonts w:hint="eastAsia" w:asciiTheme="minorEastAsia" w:hAnsiTheme="minorEastAsia"/>
          <w:b/>
          <w:bCs/>
          <w:sz w:val="28"/>
          <w:szCs w:val="22"/>
        </w:rPr>
        <w:t>相较于河南数据排名前五的单位网站被攻击、感染病毒或恶意程序、网站被挂马或植入暗链、网络和信息系统瘫痪、数据信息泄露，应用类型一致，仅个别顺序不同。</w:t>
      </w:r>
    </w:p>
    <w:p>
      <w:pPr>
        <w:ind w:firstLine="560"/>
        <w:rPr>
          <w:rFonts w:asciiTheme="minorEastAsia" w:hAnsiTheme="minorEastAsia" w:cstheme="minorEastAsia"/>
          <w:sz w:val="28"/>
          <w:szCs w:val="28"/>
        </w:rPr>
      </w:pPr>
    </w:p>
    <w:p>
      <w:pPr>
        <w:jc w:val="center"/>
      </w:pPr>
      <w:r>
        <w:drawing>
          <wp:inline distT="0" distB="0" distL="114300" distR="114300">
            <wp:extent cx="4815840" cy="3028315"/>
            <wp:effectExtent l="4445" t="5080" r="18415" b="14605"/>
            <wp:docPr id="4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38</w:t>
      </w:r>
      <w:r>
        <w:rPr>
          <w:rFonts w:hint="eastAsia" w:hAnsi="Calibri" w:cs="Times New Roman"/>
          <w:kern w:val="2"/>
          <w:sz w:val="18"/>
          <w:szCs w:val="18"/>
          <w:lang w:bidi="ar"/>
        </w:rPr>
        <w:fldChar w:fldCharType="end"/>
      </w:r>
      <w:bookmarkStart w:id="220" w:name="_Toc30837"/>
      <w:bookmarkStart w:id="221" w:name="_Toc16056"/>
      <w:r>
        <w:rPr>
          <w:rFonts w:hint="eastAsia" w:hAnsi="Calibri" w:cs="Times New Roman"/>
          <w:kern w:val="2"/>
          <w:szCs w:val="18"/>
          <w:lang w:bidi="ar"/>
        </w:rPr>
        <w:t>：单位发生网络安全事件种类</w:t>
      </w:r>
      <w:bookmarkEnd w:id="220"/>
      <w:bookmarkEnd w:id="221"/>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12.1</w:t>
      </w:r>
      <w:r>
        <w:rPr>
          <w:rFonts w:hint="eastAsia" w:ascii="Calibri" w:hAnsi="Calibri" w:eastAsia="宋体" w:cs="宋体"/>
          <w:lang w:bidi="ar"/>
        </w:rPr>
        <w:t>题：发生了什么事件？）（本题回答人数为</w:t>
      </w:r>
      <w:r>
        <w:rPr>
          <w:rFonts w:hint="eastAsia" w:ascii="Calibri" w:hAnsi="Calibri" w:eastAsia="宋体"/>
          <w:lang w:bidi="ar"/>
        </w:rPr>
        <w:t>380</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（12．2）单位网络安全应急预案完善度</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对所在单位网络安全应急预案建设方面，38.89%从业人员认为很完善，29.44%认为较完善、19.44%认为一般。即68.33%从业人员认为单位网络安全应急预案完善或较为完善。</w:t>
      </w:r>
      <w:r>
        <w:rPr>
          <w:rFonts w:hint="eastAsia" w:asciiTheme="minorEastAsia" w:hAnsiTheme="minorEastAsia" w:cstheme="minorEastAsia"/>
          <w:b/>
          <w:bCs/>
          <w:sz w:val="28"/>
          <w:szCs w:val="28"/>
          <w:lang w:bidi="ar"/>
        </w:rPr>
        <w:t>相较于河南数据66.33%认为单位网络安全应急预案完善或较为完善，略高2个百分点。</w:t>
      </w:r>
    </w:p>
    <w:p>
      <w:pPr>
        <w:jc w:val="center"/>
      </w:pPr>
      <w:r>
        <w:drawing>
          <wp:inline distT="0" distB="0" distL="114300" distR="114300">
            <wp:extent cx="4572000" cy="2743200"/>
            <wp:effectExtent l="4445" t="4445" r="14605" b="14605"/>
            <wp:docPr id="4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39</w:t>
      </w:r>
      <w:r>
        <w:rPr>
          <w:rFonts w:hint="eastAsia" w:hAnsi="Calibri" w:cs="Times New Roman"/>
          <w:kern w:val="2"/>
          <w:sz w:val="18"/>
          <w:szCs w:val="18"/>
          <w:lang w:bidi="ar"/>
        </w:rPr>
        <w:fldChar w:fldCharType="end"/>
      </w:r>
      <w:bookmarkStart w:id="222" w:name="_Toc17561"/>
      <w:bookmarkStart w:id="223" w:name="_Toc14731"/>
      <w:r>
        <w:rPr>
          <w:rFonts w:hint="eastAsia" w:hAnsi="Calibri" w:cs="Times New Roman"/>
          <w:kern w:val="2"/>
          <w:szCs w:val="18"/>
          <w:lang w:bidi="ar"/>
        </w:rPr>
        <w:t>：单位网络安全应急预案完善度</w:t>
      </w:r>
      <w:bookmarkEnd w:id="222"/>
      <w:bookmarkEnd w:id="223"/>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12.2</w:t>
      </w:r>
      <w:r>
        <w:rPr>
          <w:rFonts w:hint="eastAsia" w:ascii="Calibri" w:hAnsi="Calibri" w:eastAsia="宋体" w:cs="宋体"/>
          <w:lang w:bidi="ar"/>
        </w:rPr>
        <w:t>题：您认为所在单位目前针对网络安全事件的应急预案是否完善？）（本题回答人数为</w:t>
      </w:r>
      <w:r>
        <w:rPr>
          <w:rFonts w:hint="eastAsia" w:ascii="Calibri" w:hAnsi="Calibri" w:eastAsia="宋体"/>
          <w:lang w:bidi="ar"/>
        </w:rPr>
        <w:t>180</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（12．3）单位网络安全事件报案情况</w:t>
      </w:r>
    </w:p>
    <w:p>
      <w:pPr>
        <w:ind w:firstLine="560"/>
        <w:rPr>
          <w:rFonts w:asciiTheme="minorEastAsia" w:hAnsiTheme="minorEastAsia" w:cstheme="minorEastAsia"/>
          <w:b/>
          <w:bCs/>
          <w:sz w:val="28"/>
          <w:szCs w:val="28"/>
        </w:rPr>
      </w:pPr>
      <w:r>
        <w:rPr>
          <w:rFonts w:hint="eastAsia" w:asciiTheme="minorEastAsia" w:hAnsiTheme="minorEastAsia" w:cstheme="minorEastAsia"/>
          <w:sz w:val="28"/>
          <w:szCs w:val="28"/>
          <w:lang w:bidi="ar"/>
        </w:rPr>
        <w:t>对所在单位发生网络安全事件报案方面，59.55%从业人员所在单位报案了，23.03%从业人员所在单位没有报案，8.43%担心被处罚不敢报案，8.99%不知道如何报案。</w:t>
      </w:r>
      <w:r>
        <w:rPr>
          <w:rFonts w:hint="eastAsia" w:asciiTheme="minorEastAsia" w:hAnsiTheme="minorEastAsia" w:cstheme="minorEastAsia"/>
          <w:b/>
          <w:bCs/>
          <w:sz w:val="28"/>
          <w:szCs w:val="28"/>
          <w:lang w:bidi="ar"/>
        </w:rPr>
        <w:t>相较于河南数据，各项占比基本保持一致。</w:t>
      </w:r>
    </w:p>
    <w:p>
      <w:pPr>
        <w:jc w:val="center"/>
      </w:pPr>
      <w:r>
        <w:drawing>
          <wp:inline distT="0" distB="0" distL="114300" distR="114300">
            <wp:extent cx="4572000" cy="2743200"/>
            <wp:effectExtent l="4445" t="4445" r="14605" b="14605"/>
            <wp:docPr id="4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40</w:t>
      </w:r>
      <w:r>
        <w:rPr>
          <w:rFonts w:hint="eastAsia" w:hAnsi="Calibri" w:cs="Times New Roman"/>
          <w:kern w:val="2"/>
          <w:sz w:val="18"/>
          <w:szCs w:val="18"/>
          <w:lang w:bidi="ar"/>
        </w:rPr>
        <w:fldChar w:fldCharType="end"/>
      </w:r>
      <w:bookmarkStart w:id="224" w:name="_Toc4243"/>
      <w:bookmarkStart w:id="225" w:name="_Toc28664"/>
      <w:r>
        <w:rPr>
          <w:rFonts w:hint="eastAsia" w:hAnsi="Calibri" w:cs="Times New Roman"/>
          <w:kern w:val="2"/>
          <w:szCs w:val="18"/>
          <w:lang w:bidi="ar"/>
        </w:rPr>
        <w:t>：单位网络安全事件报案情况</w:t>
      </w:r>
      <w:bookmarkEnd w:id="224"/>
      <w:bookmarkEnd w:id="225"/>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12.3</w:t>
      </w:r>
      <w:r>
        <w:rPr>
          <w:rFonts w:hint="eastAsia" w:ascii="Calibri" w:hAnsi="Calibri" w:eastAsia="宋体" w:cs="宋体"/>
          <w:lang w:bidi="ar"/>
        </w:rPr>
        <w:t>题：您所在单位针对发生的网络安全事件向公安机关报案了吗？）（本题回答人数为</w:t>
      </w:r>
      <w:r>
        <w:rPr>
          <w:rFonts w:hint="eastAsia" w:ascii="Calibri" w:hAnsi="Calibri" w:eastAsia="宋体"/>
          <w:lang w:bidi="ar"/>
        </w:rPr>
        <w:t>178</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（12．4）公安机关网络安全案件受理工作评价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对公安机关网络安全案件受理工作评价方面，61.17%从业人员认为非常满意，21.36%从业人员表示满意，14.56%表示一般，大部分（82.53%）从业人员对公安机关网络安全案件受理工作是满意或非常满意的。</w:t>
      </w:r>
      <w:r>
        <w:rPr>
          <w:rFonts w:hint="eastAsia" w:asciiTheme="minorEastAsia" w:hAnsiTheme="minorEastAsia" w:cstheme="minorEastAsia"/>
          <w:b/>
          <w:bCs/>
          <w:sz w:val="28"/>
          <w:szCs w:val="28"/>
          <w:lang w:bidi="ar"/>
        </w:rPr>
        <w:t>相较于河南数据63.20%从业人员认为非常满意略低2.03个百分点。</w:t>
      </w:r>
    </w:p>
    <w:p>
      <w:pPr>
        <w:jc w:val="center"/>
      </w:pPr>
      <w:r>
        <w:drawing>
          <wp:inline distT="0" distB="0" distL="114300" distR="114300">
            <wp:extent cx="4572000" cy="2743200"/>
            <wp:effectExtent l="4445" t="4445" r="14605" b="14605"/>
            <wp:docPr id="105"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41</w:t>
      </w:r>
      <w:r>
        <w:rPr>
          <w:rFonts w:hint="eastAsia" w:hAnsi="Calibri" w:cs="Times New Roman"/>
          <w:kern w:val="2"/>
          <w:sz w:val="18"/>
          <w:szCs w:val="18"/>
          <w:lang w:bidi="ar"/>
        </w:rPr>
        <w:fldChar w:fldCharType="end"/>
      </w:r>
      <w:bookmarkStart w:id="226" w:name="_Toc30068"/>
      <w:bookmarkStart w:id="227" w:name="_Toc5989"/>
      <w:r>
        <w:rPr>
          <w:rFonts w:hint="eastAsia" w:hAnsi="Calibri" w:cs="Times New Roman"/>
          <w:kern w:val="2"/>
          <w:szCs w:val="18"/>
          <w:lang w:bidi="ar"/>
        </w:rPr>
        <w:t>：公安机关网络安全案件受理工作评价</w:t>
      </w:r>
      <w:bookmarkEnd w:id="226"/>
      <w:bookmarkEnd w:id="227"/>
    </w:p>
    <w:p>
      <w:pPr>
        <w:jc w:val="left"/>
      </w:pPr>
      <w:r>
        <w:rPr>
          <w:rFonts w:hint="eastAsia" w:ascii="Calibri" w:hAnsi="Calibri" w:eastAsia="宋体" w:cs="宋体"/>
          <w:lang w:bidi="ar"/>
        </w:rPr>
        <w:t>（图表数据来源：从业人员版等级保护实施与企业合规专题第</w:t>
      </w:r>
      <w:r>
        <w:rPr>
          <w:rFonts w:ascii="Calibri" w:hAnsi="Calibri" w:eastAsia="宋体"/>
          <w:lang w:bidi="ar"/>
        </w:rPr>
        <w:t>12.4</w:t>
      </w:r>
      <w:r>
        <w:rPr>
          <w:rFonts w:hint="eastAsia" w:ascii="Calibri" w:hAnsi="Calibri" w:eastAsia="宋体" w:cs="宋体"/>
          <w:lang w:bidi="ar"/>
        </w:rPr>
        <w:t>题：您所在单位对公安机关案件受理是否满意？）（本题回答人数为</w:t>
      </w:r>
      <w:r>
        <w:rPr>
          <w:rFonts w:hint="eastAsia" w:ascii="Calibri" w:hAnsi="Calibri" w:eastAsia="宋体"/>
          <w:lang w:bidi="ar"/>
        </w:rPr>
        <w:t>103</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（12．5）公安机关网络安全案件受理不满意的原因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对公安机关网络安全案件受理工作不满意的原因，38.89%从业人员认为打击力度不够，效果不明显，16.67%认为执法范围小，立案门槛高，16.67%从业人员认为没有结果，11.11%认为专业能力欠缺。</w:t>
      </w:r>
      <w:r>
        <w:rPr>
          <w:rFonts w:hint="eastAsia" w:asciiTheme="minorEastAsia" w:hAnsiTheme="minorEastAsia"/>
          <w:b/>
          <w:bCs/>
          <w:sz w:val="28"/>
          <w:szCs w:val="22"/>
        </w:rPr>
        <w:t>相较于河南数据排名前五位的应用类别一样，仅个别顺序不一样。</w:t>
      </w:r>
    </w:p>
    <w:p>
      <w:pPr>
        <w:jc w:val="center"/>
      </w:pPr>
      <w:r>
        <w:drawing>
          <wp:inline distT="0" distB="0" distL="114300" distR="114300">
            <wp:extent cx="4572000" cy="2743200"/>
            <wp:effectExtent l="4445" t="4445" r="14605" b="14605"/>
            <wp:docPr id="5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42</w:t>
      </w:r>
      <w:r>
        <w:rPr>
          <w:rFonts w:hint="eastAsia" w:hAnsi="Calibri" w:cs="Times New Roman"/>
          <w:kern w:val="2"/>
          <w:sz w:val="18"/>
          <w:szCs w:val="18"/>
          <w:lang w:bidi="ar"/>
        </w:rPr>
        <w:fldChar w:fldCharType="end"/>
      </w:r>
      <w:bookmarkStart w:id="228" w:name="_Toc22776"/>
      <w:bookmarkStart w:id="229" w:name="_Toc19322"/>
      <w:r>
        <w:rPr>
          <w:rFonts w:hint="eastAsia" w:hAnsi="Calibri" w:cs="Times New Roman"/>
          <w:kern w:val="2"/>
          <w:szCs w:val="18"/>
          <w:lang w:bidi="ar"/>
        </w:rPr>
        <w:t>：公安机关网络安全案件受理不满意的原因</w:t>
      </w:r>
      <w:bookmarkEnd w:id="228"/>
      <w:bookmarkEnd w:id="229"/>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12.5</w:t>
      </w:r>
      <w:r>
        <w:rPr>
          <w:rFonts w:hint="eastAsia" w:ascii="Calibri" w:hAnsi="Calibri" w:eastAsia="宋体" w:cs="宋体"/>
          <w:lang w:bidi="ar"/>
        </w:rPr>
        <w:t>题：您认为不满意的原因是？）（本题回答人数为</w:t>
      </w:r>
      <w:r>
        <w:rPr>
          <w:rFonts w:hint="eastAsia" w:ascii="Calibri" w:hAnsi="Calibri" w:eastAsia="宋体"/>
          <w:lang w:bidi="ar"/>
        </w:rPr>
        <w:t>18</w:t>
      </w:r>
      <w:r>
        <w:rPr>
          <w:rFonts w:hint="eastAsia" w:ascii="Calibri" w:hAnsi="Calibri" w:eastAsia="宋体" w:cs="宋体"/>
          <w:lang w:bidi="ar"/>
        </w:rPr>
        <w:t>。）</w:t>
      </w:r>
    </w:p>
    <w:p>
      <w:pP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w:t>
      </w:r>
      <w:bookmarkStart w:id="230" w:name="_Hlk48562713"/>
      <w:r>
        <w:rPr>
          <w:rFonts w:hint="eastAsia" w:asciiTheme="minorEastAsia" w:hAnsiTheme="minorEastAsia" w:cstheme="minorEastAsia"/>
          <w:sz w:val="28"/>
          <w:szCs w:val="28"/>
          <w:lang w:bidi="ar"/>
        </w:rPr>
        <w:t>对关键信息基础设施保护要求的认识</w:t>
      </w:r>
      <w:bookmarkEnd w:id="230"/>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对关键信息基础设施保护要求的认识方面，48.92%从业人员认为了解而且单位已经实施，14.59%从业人员认为了解但还没有实施，17.99%认为知道但不清楚具体要求，18.50%认为不了解。</w:t>
      </w:r>
    </w:p>
    <w:p>
      <w:pPr>
        <w:jc w:val="center"/>
      </w:pPr>
      <w:r>
        <w:drawing>
          <wp:inline distT="0" distB="0" distL="114300" distR="114300">
            <wp:extent cx="5276850" cy="3020695"/>
            <wp:effectExtent l="4445" t="4445" r="14605" b="22860"/>
            <wp:docPr id="5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43</w:t>
      </w:r>
      <w:r>
        <w:rPr>
          <w:rFonts w:hint="eastAsia" w:hAnsi="Calibri" w:cs="Times New Roman"/>
          <w:kern w:val="2"/>
          <w:sz w:val="18"/>
          <w:szCs w:val="18"/>
          <w:lang w:bidi="ar"/>
        </w:rPr>
        <w:fldChar w:fldCharType="end"/>
      </w:r>
      <w:bookmarkStart w:id="231" w:name="_Toc31012"/>
      <w:bookmarkStart w:id="232" w:name="_Toc21556"/>
      <w:r>
        <w:rPr>
          <w:rFonts w:hint="eastAsia" w:hAnsi="Calibri" w:cs="Times New Roman"/>
          <w:kern w:val="2"/>
          <w:szCs w:val="18"/>
          <w:lang w:bidi="ar"/>
        </w:rPr>
        <w:t>：对关键信息基础设施安全保护要求的认识</w:t>
      </w:r>
      <w:bookmarkEnd w:id="231"/>
      <w:bookmarkEnd w:id="232"/>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13</w:t>
      </w:r>
      <w:r>
        <w:rPr>
          <w:rFonts w:hint="eastAsia" w:ascii="Calibri" w:hAnsi="Calibri" w:eastAsia="宋体" w:cs="宋体"/>
          <w:lang w:bidi="ar"/>
        </w:rPr>
        <w:t>题：您对关键信息基础设施安全保护要求了解吗？）</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（14）网络安全检查落实情况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对所在单位网络安全检查措施落实情况，70.77%从业人员表示所在单位有定期进行网络安全检查，9.78%从业人员所在单位没有定期进行网络安全检查，19.46%表示不了解。</w:t>
      </w:r>
    </w:p>
    <w:p>
      <w:pPr>
        <w:jc w:val="center"/>
      </w:pPr>
      <w:r>
        <w:drawing>
          <wp:inline distT="0" distB="0" distL="114300" distR="114300">
            <wp:extent cx="4572000" cy="2743200"/>
            <wp:effectExtent l="4445" t="4445" r="14605" b="14605"/>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44</w:t>
      </w:r>
      <w:r>
        <w:rPr>
          <w:rFonts w:hint="eastAsia" w:hAnsi="Calibri" w:cs="Times New Roman"/>
          <w:kern w:val="2"/>
          <w:sz w:val="18"/>
          <w:szCs w:val="18"/>
          <w:lang w:bidi="ar"/>
        </w:rPr>
        <w:fldChar w:fldCharType="end"/>
      </w:r>
      <w:bookmarkStart w:id="233" w:name="_Toc26602"/>
      <w:bookmarkStart w:id="234" w:name="_Toc23445"/>
      <w:r>
        <w:rPr>
          <w:rFonts w:hint="eastAsia" w:hAnsi="Calibri" w:cs="Times New Roman"/>
          <w:kern w:val="2"/>
          <w:szCs w:val="18"/>
          <w:lang w:bidi="ar"/>
        </w:rPr>
        <w:t>：所在单位是否定期进行网络安全检查</w:t>
      </w:r>
      <w:bookmarkEnd w:id="233"/>
      <w:bookmarkEnd w:id="234"/>
    </w:p>
    <w:p>
      <w:pPr>
        <w:jc w:val="left"/>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14</w:t>
      </w:r>
      <w:r>
        <w:rPr>
          <w:rFonts w:hint="eastAsia" w:ascii="Calibri" w:hAnsi="Calibri" w:eastAsia="宋体" w:cs="宋体"/>
          <w:lang w:bidi="ar"/>
        </w:rPr>
        <w:t>题：您所在单位是否定期对重要的信息系统</w:t>
      </w:r>
      <w:r>
        <w:rPr>
          <w:rFonts w:ascii="Calibri" w:hAnsi="Calibri" w:eastAsia="宋体"/>
          <w:lang w:bidi="ar"/>
        </w:rPr>
        <w:t>/</w:t>
      </w:r>
      <w:r>
        <w:rPr>
          <w:rFonts w:hint="eastAsia" w:ascii="Calibri" w:hAnsi="Calibri" w:eastAsia="宋体" w:cs="宋体"/>
          <w:lang w:bidi="ar"/>
        </w:rPr>
        <w:t>业务系统进行安全检查？</w:t>
      </w:r>
      <w:bookmarkStart w:id="235" w:name="_Toc19207418"/>
      <w:bookmarkStart w:id="236" w:name="_Toc48725398"/>
    </w:p>
    <w:p>
      <w:pPr>
        <w:jc w:val="center"/>
        <w:rPr>
          <w:rFonts w:ascii="Calibri" w:hAnsi="Calibri" w:eastAsia="宋体" w:cs="宋体"/>
          <w:lang w:bidi="ar"/>
        </w:rPr>
      </w:pPr>
    </w:p>
    <w:p>
      <w:pPr>
        <w:pStyle w:val="3"/>
      </w:pPr>
      <w:bookmarkStart w:id="237" w:name="_Toc30634"/>
      <w:bookmarkStart w:id="238" w:name="_Toc5604"/>
      <w:r>
        <w:t>5.2、</w:t>
      </w:r>
      <w:bookmarkEnd w:id="235"/>
      <w:r>
        <w:t>行业发展与生态建设专题</w:t>
      </w:r>
      <w:bookmarkEnd w:id="236"/>
      <w:bookmarkEnd w:id="237"/>
      <w:bookmarkEnd w:id="238"/>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参与本专题答题的从业人员数为797。</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（1）行业发展的政策环境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从业人员对当前促进网络安全产品与服务发展的政策环境评价为：25.39%从业人员认为非常好，37.89%认为好，33.46%认为一般，持肯定态度的占大部分（63.28%）。但也有三分之一的从业人员评价不高。</w:t>
      </w:r>
    </w:p>
    <w:p>
      <w:pPr>
        <w:jc w:val="center"/>
      </w:pPr>
      <w:r>
        <w:drawing>
          <wp:inline distT="0" distB="0" distL="114300" distR="114300">
            <wp:extent cx="5186045" cy="3028950"/>
            <wp:effectExtent l="4445" t="4445" r="10160" b="14605"/>
            <wp:docPr id="10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bookmarkStart w:id="239" w:name="_Toc19305628"/>
      <w:bookmarkStart w:id="240" w:name="_Toc19203722"/>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45</w:t>
      </w:r>
      <w:r>
        <w:rPr>
          <w:rFonts w:hint="eastAsia" w:hAnsi="Calibri" w:cs="Times New Roman"/>
          <w:kern w:val="2"/>
          <w:sz w:val="18"/>
          <w:szCs w:val="18"/>
          <w:lang w:bidi="ar"/>
        </w:rPr>
        <w:fldChar w:fldCharType="end"/>
      </w:r>
      <w:bookmarkStart w:id="241" w:name="_Toc25320"/>
      <w:bookmarkStart w:id="242" w:name="_Toc13213"/>
      <w:r>
        <w:rPr>
          <w:rFonts w:hint="eastAsia" w:hAnsi="Calibri" w:cs="Times New Roman"/>
          <w:kern w:val="2"/>
          <w:szCs w:val="21"/>
          <w:lang w:bidi="ar"/>
        </w:rPr>
        <w:t>：</w:t>
      </w:r>
      <w:bookmarkEnd w:id="239"/>
      <w:bookmarkEnd w:id="240"/>
      <w:r>
        <w:rPr>
          <w:rFonts w:hint="eastAsia" w:hAnsi="Calibri" w:cs="Times New Roman"/>
          <w:kern w:val="2"/>
          <w:szCs w:val="21"/>
          <w:lang w:bidi="ar"/>
        </w:rPr>
        <w:t>对当前促进网络安全产品与服务发展的政策环境的评价</w:t>
      </w:r>
      <w:bookmarkEnd w:id="241"/>
      <w:bookmarkEnd w:id="242"/>
    </w:p>
    <w:p>
      <w:r>
        <w:rPr>
          <w:rFonts w:hint="eastAsia" w:ascii="Calibri" w:hAnsi="Calibri" w:eastAsia="宋体" w:cs="宋体"/>
          <w:lang w:bidi="ar"/>
        </w:rPr>
        <w:t>（图表数据来源：从业人员版行业发展与生态建设专题第</w:t>
      </w:r>
      <w:r>
        <w:rPr>
          <w:rFonts w:ascii="Calibri" w:hAnsi="Calibri" w:eastAsia="宋体"/>
          <w:lang w:bidi="ar"/>
        </w:rPr>
        <w:t>1</w:t>
      </w:r>
      <w:r>
        <w:rPr>
          <w:rFonts w:hint="eastAsia" w:ascii="Calibri" w:hAnsi="Calibri" w:eastAsia="宋体" w:cs="宋体"/>
          <w:lang w:bidi="ar"/>
        </w:rPr>
        <w:t>题：您认为当前促进网络安全产品与服务发展的政策环境如何？）</w:t>
      </w:r>
    </w:p>
    <w:p>
      <w:pPr>
        <w:rPr>
          <w:rFonts w:ascii="Calibri" w:hAnsi="Calibri" w:eastAsia="宋体"/>
          <w:lang w:bidi="ar"/>
        </w:rPr>
      </w:pP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（2）当前网络安全行业市场的需求变化</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当前网络安全行业市场的需求变化评价为：55.10%从业人员认为明显上涨，34.29%从业人员认为略有上涨，7.20%认为没有变化，持上涨看法的占绝大部分（89.39%）。显示从业人员对网络安全市场看法比较乐观。</w:t>
      </w:r>
    </w:p>
    <w:p>
      <w:pPr>
        <w:jc w:val="center"/>
      </w:pPr>
      <w:r>
        <w:drawing>
          <wp:inline distT="0" distB="0" distL="114300" distR="114300">
            <wp:extent cx="5052695" cy="2943225"/>
            <wp:effectExtent l="4445" t="4445" r="10160" b="5080"/>
            <wp:docPr id="10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bookmarkStart w:id="243" w:name="_Toc19305630"/>
      <w:bookmarkStart w:id="244" w:name="_Toc19203724"/>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46</w:t>
      </w:r>
      <w:r>
        <w:rPr>
          <w:rFonts w:hint="eastAsia" w:hAnsi="Calibri" w:cs="Times New Roman"/>
          <w:kern w:val="2"/>
          <w:sz w:val="18"/>
          <w:szCs w:val="18"/>
          <w:lang w:bidi="ar"/>
        </w:rPr>
        <w:fldChar w:fldCharType="end"/>
      </w:r>
      <w:bookmarkStart w:id="245" w:name="_Toc5481"/>
      <w:bookmarkStart w:id="246" w:name="_Toc4525"/>
      <w:r>
        <w:rPr>
          <w:rFonts w:hint="eastAsia" w:asciiTheme="minorEastAsia" w:hAnsiTheme="minorEastAsia" w:eastAsiaTheme="minorEastAsia" w:cstheme="minorEastAsia"/>
          <w:kern w:val="2"/>
          <w:lang w:bidi="ar"/>
        </w:rPr>
        <w:t>：</w:t>
      </w:r>
      <w:bookmarkEnd w:id="243"/>
      <w:bookmarkEnd w:id="244"/>
      <w:r>
        <w:rPr>
          <w:rFonts w:hint="eastAsia" w:asciiTheme="minorEastAsia" w:hAnsiTheme="minorEastAsia" w:eastAsiaTheme="minorEastAsia" w:cstheme="minorEastAsia"/>
          <w:kern w:val="2"/>
          <w:lang w:bidi="ar"/>
        </w:rPr>
        <w:t>当前网络安全行业市场的需求变化</w:t>
      </w:r>
      <w:bookmarkEnd w:id="245"/>
      <w:bookmarkEnd w:id="246"/>
    </w:p>
    <w:p>
      <w:pPr>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（图表数据来源：从业人员版行业发展与生态建设专题第2题：相比以往您认为当前网络安全行业市场的需求变化如何？）</w:t>
      </w:r>
    </w:p>
    <w:p>
      <w:pPr>
        <w:rPr>
          <w:rFonts w:asciiTheme="minorEastAsia" w:hAnsiTheme="minorEastAsia" w:cstheme="minorEastAsia"/>
        </w:rPr>
      </w:pPr>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（3）目前网络安全行业提供的网络安全保障水平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据您了解目前网络安全行业提供的网络安全保障水平评价为：20.29%从业人员认为非常高，41.75%从业人员认为比较高，32.46%认为中等，认为行业的网络安全保障水平比较高和非常高看法的占大部分（62.04%）。显示</w:t>
      </w:r>
      <w:bookmarkStart w:id="247" w:name="_Hlk48722374"/>
      <w:r>
        <w:rPr>
          <w:rFonts w:hint="eastAsia" w:asciiTheme="minorEastAsia" w:hAnsiTheme="minorEastAsia" w:cstheme="minorEastAsia"/>
          <w:sz w:val="28"/>
          <w:szCs w:val="28"/>
          <w:lang w:bidi="ar"/>
        </w:rPr>
        <w:t>大部分从业人员对网络安全行业提供网络安全保障水平是比较认可的。</w:t>
      </w:r>
      <w:bookmarkEnd w:id="247"/>
    </w:p>
    <w:p>
      <w:pPr>
        <w:ind w:firstLine="360" w:firstLineChars="150"/>
        <w:jc w:val="center"/>
      </w:pPr>
      <w:r>
        <w:drawing>
          <wp:inline distT="0" distB="0" distL="114300" distR="114300">
            <wp:extent cx="5196205" cy="3133725"/>
            <wp:effectExtent l="4445" t="4445" r="19050" b="5080"/>
            <wp:docPr id="1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47</w:t>
      </w:r>
      <w:r>
        <w:rPr>
          <w:rFonts w:hint="eastAsia" w:hAnsi="Calibri" w:cs="Times New Roman"/>
          <w:kern w:val="2"/>
          <w:sz w:val="18"/>
          <w:szCs w:val="18"/>
          <w:lang w:bidi="ar"/>
        </w:rPr>
        <w:fldChar w:fldCharType="end"/>
      </w:r>
      <w:bookmarkStart w:id="248" w:name="_Toc31229"/>
      <w:bookmarkStart w:id="249" w:name="_Toc6140"/>
      <w:r>
        <w:rPr>
          <w:rFonts w:hint="eastAsia" w:hAnsi="Calibri" w:cs="Times New Roman"/>
          <w:kern w:val="2"/>
          <w:szCs w:val="20"/>
          <w:lang w:bidi="ar"/>
        </w:rPr>
        <w:t>：目前网络安全行业提供的网络安全保障水平评价</w:t>
      </w:r>
      <w:bookmarkEnd w:id="248"/>
      <w:bookmarkEnd w:id="249"/>
    </w:p>
    <w:p>
      <w:r>
        <w:rPr>
          <w:rFonts w:hint="eastAsia" w:ascii="Calibri" w:hAnsi="Calibri" w:eastAsia="宋体" w:cs="宋体"/>
          <w:lang w:bidi="ar"/>
        </w:rPr>
        <w:t>（图表数据来源：从业人员版行业发展与生态建设专题第</w:t>
      </w:r>
      <w:r>
        <w:rPr>
          <w:rFonts w:ascii="Calibri" w:hAnsi="Calibri" w:eastAsia="宋体"/>
          <w:lang w:bidi="ar"/>
        </w:rPr>
        <w:t>3</w:t>
      </w:r>
      <w:r>
        <w:rPr>
          <w:rFonts w:hint="eastAsia" w:ascii="Calibri" w:hAnsi="Calibri" w:eastAsia="宋体" w:cs="宋体"/>
          <w:lang w:bidi="ar"/>
        </w:rPr>
        <w:t>题：据您了解目前网络安全行业提供的网络安全保障水平如何？）</w:t>
      </w:r>
    </w:p>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（4）信息技术产业供应链安全威胁</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信息技术产业供应链安全威胁评价为：18.43%从业人员认为威胁非常高，37.78%从业人员认为比较高，36.08%认为中等，持威胁比较高和非常高看法的占大部分（56.21%）。显示信息技术产业供应链安全的威胁是比较高的。</w:t>
      </w:r>
    </w:p>
    <w:p>
      <w:pPr>
        <w:ind w:firstLine="360" w:firstLineChars="150"/>
      </w:pPr>
      <w:r>
        <w:drawing>
          <wp:inline distT="0" distB="0" distL="114300" distR="114300">
            <wp:extent cx="4740910" cy="2524760"/>
            <wp:effectExtent l="4445" t="4445" r="17145" b="23495"/>
            <wp:docPr id="1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50" w:name="_Toc19203725"/>
      <w:bookmarkStart w:id="251" w:name="_Toc193056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48</w:t>
      </w:r>
      <w:r>
        <w:rPr>
          <w:rFonts w:hint="eastAsia" w:hAnsi="Calibri" w:cs="Times New Roman"/>
          <w:kern w:val="2"/>
          <w:sz w:val="18"/>
          <w:szCs w:val="18"/>
          <w:lang w:bidi="ar"/>
        </w:rPr>
        <w:fldChar w:fldCharType="end"/>
      </w:r>
      <w:bookmarkStart w:id="252" w:name="_Toc1759"/>
      <w:bookmarkStart w:id="253" w:name="_Toc32250"/>
      <w:r>
        <w:rPr>
          <w:rFonts w:hint="eastAsia" w:hAnsi="Calibri" w:cs="Times New Roman"/>
          <w:kern w:val="2"/>
          <w:szCs w:val="20"/>
          <w:lang w:bidi="ar"/>
        </w:rPr>
        <w:t>：</w:t>
      </w:r>
      <w:bookmarkEnd w:id="250"/>
      <w:bookmarkEnd w:id="251"/>
      <w:r>
        <w:rPr>
          <w:rFonts w:hint="eastAsia" w:hAnsi="Calibri" w:cs="Times New Roman"/>
          <w:kern w:val="2"/>
          <w:szCs w:val="20"/>
          <w:lang w:bidi="ar"/>
        </w:rPr>
        <w:t>当前信息技术产业供应链安全问题的威胁</w:t>
      </w:r>
      <w:bookmarkEnd w:id="252"/>
      <w:bookmarkEnd w:id="253"/>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4</w:t>
      </w:r>
      <w:r>
        <w:rPr>
          <w:rFonts w:hint="eastAsia" w:ascii="Calibri" w:hAnsi="Calibri" w:eastAsia="宋体" w:cs="宋体"/>
          <w:lang w:bidi="ar"/>
        </w:rPr>
        <w:t>题：您认为当前信息技术产业供应链安全问题的威胁如何？）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（5）当前网络安全产品与服务的资费水平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的资费水平评价为：16.51%从业人员认为非常高，37.61%从业人员认为比较高，39.19%认为适中，持比较高和非常高看法的占大部分（54.12%）。显示网络安全行业产品和服务收费是比较高的。</w:t>
      </w:r>
    </w:p>
    <w:p>
      <w:pPr>
        <w:ind w:firstLine="360" w:firstLineChars="150"/>
        <w:jc w:val="center"/>
      </w:pPr>
      <w:r>
        <w:drawing>
          <wp:inline distT="0" distB="0" distL="114300" distR="114300">
            <wp:extent cx="4572000" cy="2743200"/>
            <wp:effectExtent l="4445" t="4445" r="14605" b="14605"/>
            <wp:docPr id="1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49</w:t>
      </w:r>
      <w:r>
        <w:rPr>
          <w:rFonts w:hint="eastAsia" w:hAnsi="Calibri" w:cs="Times New Roman"/>
          <w:kern w:val="2"/>
          <w:sz w:val="18"/>
          <w:szCs w:val="18"/>
          <w:lang w:bidi="ar"/>
        </w:rPr>
        <w:fldChar w:fldCharType="end"/>
      </w:r>
      <w:bookmarkStart w:id="254" w:name="_Toc17234"/>
      <w:bookmarkStart w:id="255" w:name="_Toc6263"/>
      <w:r>
        <w:rPr>
          <w:rFonts w:hint="eastAsia" w:hAnsi="Calibri" w:cs="Times New Roman"/>
          <w:kern w:val="2"/>
          <w:szCs w:val="20"/>
          <w:lang w:bidi="ar"/>
        </w:rPr>
        <w:t>：当前网络安全产品与服务的资费水平</w:t>
      </w:r>
      <w:bookmarkEnd w:id="254"/>
      <w:bookmarkEnd w:id="255"/>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5</w:t>
      </w:r>
      <w:r>
        <w:rPr>
          <w:rFonts w:hint="eastAsia" w:ascii="Calibri" w:hAnsi="Calibri" w:eastAsia="宋体" w:cs="宋体"/>
          <w:lang w:bidi="ar"/>
        </w:rPr>
        <w:t>题：您认为当前网络安全产品与服务的资费水平如何？）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（6）当前网络安全产品与服务存在问题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从业人员对当前网络安全产品与服务存在问题看法为：排前5位的为：1创新能力不足（57.72%）、2核心技术依赖进口（51.18%）、3可靠性差（38.74%）、4性能低（36.65%）、5服务不到位（35.34%）。</w:t>
      </w:r>
    </w:p>
    <w:p>
      <w:pPr>
        <w:jc w:val="center"/>
      </w:pPr>
      <w:r>
        <w:drawing>
          <wp:inline distT="0" distB="0" distL="114300" distR="114300">
            <wp:extent cx="4962525" cy="2806065"/>
            <wp:effectExtent l="4445" t="4445" r="5080" b="8890"/>
            <wp:docPr id="1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14"/>
        <w:widowControl w:val="0"/>
        <w:adjustRightInd w:val="0"/>
        <w:snapToGrid w:val="0"/>
        <w:spacing w:before="0" w:beforeAutospacing="0" w:after="0" w:afterAutospacing="0" w:line="360" w:lineRule="auto"/>
        <w:ind w:firstLine="480" w:firstLineChars="200"/>
        <w:jc w:val="center"/>
      </w:pPr>
      <w:bookmarkStart w:id="256" w:name="_Toc19305633"/>
      <w:bookmarkStart w:id="257" w:name="_Toc19203727"/>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50</w:t>
      </w:r>
      <w:r>
        <w:rPr>
          <w:rFonts w:hint="eastAsia" w:hAnsi="Calibri" w:cs="Times New Roman"/>
          <w:kern w:val="2"/>
          <w:sz w:val="18"/>
          <w:szCs w:val="18"/>
          <w:lang w:bidi="ar"/>
        </w:rPr>
        <w:fldChar w:fldCharType="end"/>
      </w:r>
      <w:bookmarkStart w:id="258" w:name="_Toc10126"/>
      <w:bookmarkStart w:id="259" w:name="_Toc13616"/>
      <w:r>
        <w:rPr>
          <w:rFonts w:hint="eastAsia" w:hAnsi="Calibri" w:cs="Times New Roman"/>
          <w:kern w:val="2"/>
          <w:lang w:bidi="ar"/>
        </w:rPr>
        <w:t>：</w:t>
      </w:r>
      <w:bookmarkEnd w:id="256"/>
      <w:bookmarkEnd w:id="257"/>
      <w:r>
        <w:rPr>
          <w:rFonts w:hint="eastAsia" w:hAnsi="Calibri" w:cs="Times New Roman"/>
          <w:kern w:val="2"/>
          <w:lang w:bidi="ar"/>
        </w:rPr>
        <w:t>当前网络安全产品与服务存在的不足之处</w:t>
      </w:r>
      <w:bookmarkEnd w:id="258"/>
      <w:bookmarkEnd w:id="259"/>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6</w:t>
      </w:r>
      <w:r>
        <w:rPr>
          <w:rFonts w:hint="eastAsia" w:ascii="Calibri" w:hAnsi="Calibri" w:eastAsia="宋体" w:cs="宋体"/>
          <w:lang w:bidi="ar"/>
        </w:rPr>
        <w:t>题：您认为当前网络安全产品与服务存在的不足之处是？）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（7）对当前网络安全产品与服务实行等级管理看法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从业人员对当前网络安全产品与服务实行等级管理看法为：绝大部分91%从业人员认为应该实行等级管理，小部分9%认为不应实行等级管理。</w:t>
      </w:r>
    </w:p>
    <w:p>
      <w:pPr>
        <w:jc w:val="center"/>
      </w:pPr>
      <w:r>
        <w:drawing>
          <wp:inline distT="0" distB="0" distL="114300" distR="114300">
            <wp:extent cx="4572000" cy="2743200"/>
            <wp:effectExtent l="4445" t="4445" r="14605" b="14605"/>
            <wp:docPr id="1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60" w:name="_Toc19305634"/>
      <w:bookmarkStart w:id="261" w:name="_Toc19203728"/>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51</w:t>
      </w:r>
      <w:r>
        <w:rPr>
          <w:rFonts w:hint="eastAsia" w:hAnsi="Calibri" w:cs="Times New Roman"/>
          <w:kern w:val="2"/>
          <w:sz w:val="18"/>
          <w:szCs w:val="18"/>
          <w:lang w:bidi="ar"/>
        </w:rPr>
        <w:fldChar w:fldCharType="end"/>
      </w:r>
      <w:bookmarkStart w:id="262" w:name="_Toc21140"/>
      <w:bookmarkStart w:id="263" w:name="_Toc15929"/>
      <w:r>
        <w:rPr>
          <w:rFonts w:hint="eastAsia" w:hAnsi="Calibri" w:cs="Times New Roman"/>
          <w:kern w:val="2"/>
          <w:szCs w:val="20"/>
          <w:lang w:bidi="ar"/>
        </w:rPr>
        <w:t>：</w:t>
      </w:r>
      <w:bookmarkEnd w:id="260"/>
      <w:bookmarkEnd w:id="261"/>
      <w:r>
        <w:rPr>
          <w:rFonts w:hint="eastAsia" w:hAnsi="Calibri" w:cs="Times New Roman"/>
          <w:kern w:val="2"/>
          <w:szCs w:val="20"/>
          <w:lang w:bidi="ar"/>
        </w:rPr>
        <w:t>当前网络安全产品与服务是否应该实行等级评价管理？</w:t>
      </w:r>
      <w:bookmarkEnd w:id="262"/>
      <w:bookmarkEnd w:id="263"/>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7</w:t>
      </w:r>
      <w:r>
        <w:rPr>
          <w:rFonts w:hint="eastAsia" w:ascii="Calibri" w:hAnsi="Calibri" w:eastAsia="宋体" w:cs="宋体"/>
          <w:lang w:bidi="ar"/>
        </w:rPr>
        <w:t>题：您认为当前网络安全产品与服务是否应该实行等级评价管理？）</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（8）当前网络安全技术人才数量评价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技术人才数量评价呈持平的状态，认为一般最多，占41.60%，认为比较充足的24.41%和认为有效缺乏的16.80%差多10个百分点，认为非常充足的11.02%和认为严重不足的6.17%。技术人才问题不仅是数量问题，还有质量和结构的问题。</w:t>
      </w:r>
    </w:p>
    <w:p>
      <w:pPr>
        <w:jc w:val="center"/>
      </w:pPr>
      <w:r>
        <w:drawing>
          <wp:inline distT="0" distB="0" distL="114300" distR="114300">
            <wp:extent cx="4572000" cy="2743200"/>
            <wp:effectExtent l="4445" t="4445" r="14605" b="14605"/>
            <wp:docPr id="11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64" w:name="_Toc19203729"/>
      <w:bookmarkStart w:id="265" w:name="_Toc19305635"/>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52</w:t>
      </w:r>
      <w:r>
        <w:rPr>
          <w:rFonts w:hint="eastAsia" w:hAnsi="Calibri" w:cs="Times New Roman"/>
          <w:kern w:val="2"/>
          <w:sz w:val="18"/>
          <w:szCs w:val="18"/>
          <w:lang w:bidi="ar"/>
        </w:rPr>
        <w:fldChar w:fldCharType="end"/>
      </w:r>
      <w:bookmarkStart w:id="266" w:name="_Toc5645"/>
      <w:bookmarkStart w:id="267" w:name="_Toc9091"/>
      <w:r>
        <w:rPr>
          <w:rFonts w:hint="eastAsia" w:hAnsi="Calibri" w:cs="Times New Roman"/>
          <w:kern w:val="2"/>
          <w:szCs w:val="20"/>
          <w:lang w:bidi="ar"/>
        </w:rPr>
        <w:t>：</w:t>
      </w:r>
      <w:bookmarkEnd w:id="264"/>
      <w:bookmarkEnd w:id="265"/>
      <w:r>
        <w:rPr>
          <w:rFonts w:hint="eastAsia" w:hAnsi="Calibri" w:cs="Times New Roman"/>
          <w:kern w:val="2"/>
          <w:szCs w:val="20"/>
          <w:lang w:bidi="ar"/>
        </w:rPr>
        <w:t>当前网络安全技术人才数量评价</w:t>
      </w:r>
      <w:bookmarkEnd w:id="266"/>
      <w:bookmarkEnd w:id="267"/>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8</w:t>
      </w:r>
      <w:r>
        <w:rPr>
          <w:rFonts w:hint="eastAsia" w:ascii="Calibri" w:hAnsi="Calibri" w:eastAsia="宋体" w:cs="宋体"/>
          <w:lang w:bidi="ar"/>
        </w:rPr>
        <w:t>题：您认为当前网络安全技术人才数量如何？）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（9）当前网络安全测评机构数量评价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从业人员中对当前网络安全测评机构数量评价方面，47.25%的从业人员网民认为数量一般。22.51%认为数量比较充足，15.18%认为有些缺乏，10.73%认为非常充足，4.32%认为严重不足。</w:t>
      </w:r>
    </w:p>
    <w:p>
      <w:pPr>
        <w:ind w:leftChars="-118" w:hanging="283" w:hangingChars="118"/>
        <w:jc w:val="center"/>
      </w:pPr>
      <w:r>
        <w:drawing>
          <wp:inline distT="0" distB="0" distL="114300" distR="114300">
            <wp:extent cx="4572000" cy="2743200"/>
            <wp:effectExtent l="4445" t="4445" r="14605" b="14605"/>
            <wp:docPr id="11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14"/>
        <w:widowControl w:val="0"/>
        <w:adjustRightInd w:val="0"/>
        <w:snapToGrid w:val="0"/>
        <w:spacing w:before="0" w:beforeAutospacing="0" w:after="0" w:afterAutospacing="0" w:line="360" w:lineRule="auto"/>
        <w:ind w:firstLine="440" w:firstLineChars="200"/>
        <w:jc w:val="center"/>
        <w:rPr>
          <w:sz w:val="22"/>
          <w:szCs w:val="18"/>
        </w:rPr>
      </w:pPr>
      <w:bookmarkStart w:id="268" w:name="_Toc19305636"/>
      <w:bookmarkStart w:id="269" w:name="_Toc19203730"/>
      <w:r>
        <w:rPr>
          <w:rFonts w:hint="eastAsia" w:hAnsi="Calibri" w:cs="Times New Roman"/>
          <w:kern w:val="2"/>
          <w:sz w:val="2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53</w:t>
      </w:r>
      <w:r>
        <w:rPr>
          <w:rFonts w:hint="eastAsia" w:hAnsi="Calibri" w:cs="Times New Roman"/>
          <w:kern w:val="2"/>
          <w:sz w:val="18"/>
          <w:szCs w:val="18"/>
          <w:lang w:bidi="ar"/>
        </w:rPr>
        <w:fldChar w:fldCharType="end"/>
      </w:r>
      <w:bookmarkStart w:id="270" w:name="_Toc1994"/>
      <w:bookmarkStart w:id="271" w:name="_Toc19354"/>
      <w:r>
        <w:rPr>
          <w:rFonts w:hint="eastAsia" w:hAnsi="Calibri" w:cs="Times New Roman"/>
          <w:kern w:val="2"/>
          <w:sz w:val="22"/>
          <w:szCs w:val="18"/>
          <w:lang w:bidi="ar"/>
        </w:rPr>
        <w:t>：</w:t>
      </w:r>
      <w:bookmarkEnd w:id="268"/>
      <w:bookmarkEnd w:id="269"/>
      <w:r>
        <w:rPr>
          <w:rFonts w:hint="eastAsia" w:hAnsi="Calibri" w:cs="Times New Roman"/>
          <w:kern w:val="2"/>
          <w:sz w:val="22"/>
          <w:szCs w:val="18"/>
          <w:lang w:bidi="ar"/>
        </w:rPr>
        <w:t>当前网络安全测评机构数量评价</w:t>
      </w:r>
      <w:bookmarkEnd w:id="270"/>
      <w:bookmarkEnd w:id="271"/>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9</w:t>
      </w:r>
      <w:r>
        <w:rPr>
          <w:rFonts w:hint="eastAsia" w:ascii="Calibri" w:hAnsi="Calibri" w:eastAsia="宋体" w:cs="宋体"/>
          <w:lang w:bidi="ar"/>
        </w:rPr>
        <w:t>题：您认为当前网络安全测评机构数量如何？）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（10）对测评机构提供服务的需求</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从业人员对测评机构提供服务的需求排前5位是：1安全监理55.82%，2安全运维55.69%，3应急演练47.71%，4安全咨询47.32%，5攻防演练46.41%。</w:t>
      </w:r>
    </w:p>
    <w:p>
      <w:pPr>
        <w:jc w:val="center"/>
      </w:pPr>
      <w:r>
        <w:drawing>
          <wp:inline distT="0" distB="0" distL="114300" distR="114300">
            <wp:extent cx="4572000" cy="2743200"/>
            <wp:effectExtent l="4445" t="4445" r="14605" b="14605"/>
            <wp:docPr id="1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272" w:name="_Toc19305637"/>
      <w:bookmarkStart w:id="273" w:name="_Toc192037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54</w:t>
      </w:r>
      <w:r>
        <w:rPr>
          <w:rFonts w:hint="eastAsia" w:hAnsi="Calibri" w:cs="Times New Roman"/>
          <w:kern w:val="2"/>
          <w:sz w:val="18"/>
          <w:szCs w:val="18"/>
          <w:lang w:bidi="ar"/>
        </w:rPr>
        <w:fldChar w:fldCharType="end"/>
      </w:r>
      <w:bookmarkStart w:id="274" w:name="_Toc24984"/>
      <w:bookmarkStart w:id="275" w:name="_Toc14942"/>
      <w:r>
        <w:rPr>
          <w:rFonts w:hint="eastAsia" w:hAnsi="Calibri" w:cs="Times New Roman"/>
          <w:kern w:val="2"/>
          <w:szCs w:val="20"/>
          <w:lang w:bidi="ar"/>
        </w:rPr>
        <w:t>：</w:t>
      </w:r>
      <w:bookmarkEnd w:id="272"/>
      <w:bookmarkEnd w:id="273"/>
      <w:r>
        <w:rPr>
          <w:rFonts w:hint="eastAsia" w:hAnsi="Calibri" w:cs="Times New Roman"/>
          <w:kern w:val="2"/>
          <w:szCs w:val="20"/>
          <w:lang w:bidi="ar"/>
        </w:rPr>
        <w:t>对测评机构提供服务的需求</w:t>
      </w:r>
      <w:bookmarkEnd w:id="274"/>
      <w:bookmarkEnd w:id="275"/>
    </w:p>
    <w:p>
      <w:pPr>
        <w:jc w:val="left"/>
      </w:pPr>
      <w:r>
        <w:rPr>
          <w:rFonts w:hint="eastAsia" w:ascii="Calibri" w:hAnsi="Calibri" w:eastAsia="宋体" w:cs="宋体"/>
          <w:lang w:bidi="ar"/>
        </w:rPr>
        <w:t>（图表数据来源：从业人员版行业发展与生态建设专题第</w:t>
      </w:r>
      <w:r>
        <w:rPr>
          <w:rFonts w:ascii="Calibri" w:hAnsi="Calibri" w:eastAsia="宋体"/>
          <w:lang w:bidi="ar"/>
        </w:rPr>
        <w:t>10</w:t>
      </w:r>
      <w:r>
        <w:rPr>
          <w:rFonts w:hint="eastAsia" w:ascii="Calibri" w:hAnsi="Calibri" w:eastAsia="宋体" w:cs="宋体"/>
          <w:lang w:bidi="ar"/>
        </w:rPr>
        <w:t>题：您所在单位还需要测评机构提供哪些服务？）</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（11）制约网络安全行业发展的主要障碍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从业人员制约网络安全行业发展的主要障碍排前3位是：1人才73.03%，2技术70.13%，3资金55.26%。</w:t>
      </w:r>
    </w:p>
    <w:p>
      <w:pPr>
        <w:jc w:val="center"/>
      </w:pPr>
      <w:r>
        <w:drawing>
          <wp:inline distT="0" distB="0" distL="114300" distR="114300">
            <wp:extent cx="4572000" cy="2743200"/>
            <wp:effectExtent l="4445" t="4445" r="14605" b="14605"/>
            <wp:docPr id="11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276" w:name="_Toc19203732"/>
      <w:bookmarkStart w:id="277" w:name="_Toc19305638"/>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55</w:t>
      </w:r>
      <w:r>
        <w:rPr>
          <w:rFonts w:hint="eastAsia" w:hAnsi="Calibri" w:cs="Times New Roman"/>
          <w:kern w:val="2"/>
          <w:sz w:val="18"/>
          <w:szCs w:val="18"/>
          <w:lang w:bidi="ar"/>
        </w:rPr>
        <w:fldChar w:fldCharType="end"/>
      </w:r>
      <w:bookmarkStart w:id="278" w:name="_Toc32126"/>
      <w:bookmarkStart w:id="279" w:name="_Toc20805"/>
      <w:r>
        <w:rPr>
          <w:rFonts w:hint="eastAsia" w:hAnsi="Calibri" w:cs="Times New Roman"/>
          <w:kern w:val="2"/>
          <w:szCs w:val="18"/>
          <w:lang w:bidi="ar"/>
        </w:rPr>
        <w:t>：</w:t>
      </w:r>
      <w:bookmarkEnd w:id="276"/>
      <w:bookmarkEnd w:id="277"/>
      <w:r>
        <w:rPr>
          <w:rFonts w:hint="eastAsia" w:hAnsi="Calibri" w:cs="Times New Roman"/>
          <w:kern w:val="2"/>
          <w:szCs w:val="18"/>
          <w:lang w:bidi="ar"/>
        </w:rPr>
        <w:t>制约网络安全行业发展的主要障碍</w:t>
      </w:r>
      <w:bookmarkEnd w:id="278"/>
      <w:bookmarkEnd w:id="279"/>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11</w:t>
      </w:r>
      <w:r>
        <w:rPr>
          <w:rFonts w:hint="eastAsia" w:ascii="Calibri" w:hAnsi="Calibri" w:eastAsia="宋体" w:cs="宋体"/>
          <w:lang w:bidi="ar"/>
        </w:rPr>
        <w:t>题：您认为制约网络安全行业发展的主要障碍是什么？）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bookmarkStart w:id="280" w:name="_Hlk48567617"/>
      <w:r>
        <w:rPr>
          <w:rFonts w:hint="eastAsia" w:asciiTheme="minorEastAsia" w:hAnsiTheme="minorEastAsia" w:cstheme="minorEastAsia"/>
          <w:sz w:val="28"/>
          <w:szCs w:val="28"/>
          <w:lang w:bidi="ar"/>
        </w:rPr>
        <w:t>（12）网络安全行业未来一年发展的趋势评价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从业人员对网络安全行业未来一年发展的趋势评价：37.68%认为明显增长，39%认为略有增长，</w:t>
      </w:r>
      <w:bookmarkStart w:id="281" w:name="_Hlk48722678"/>
      <w:r>
        <w:rPr>
          <w:rFonts w:hint="eastAsia" w:asciiTheme="minorEastAsia" w:hAnsiTheme="minorEastAsia" w:cstheme="minorEastAsia"/>
          <w:sz w:val="28"/>
          <w:szCs w:val="28"/>
          <w:lang w:bidi="ar"/>
        </w:rPr>
        <w:t>近八成（76.68%）从业人员认为未来有增长。</w:t>
      </w:r>
      <w:bookmarkEnd w:id="281"/>
    </w:p>
    <w:p>
      <w:pPr>
        <w:jc w:val="center"/>
      </w:pPr>
      <w:r>
        <w:drawing>
          <wp:inline distT="0" distB="0" distL="114300" distR="114300">
            <wp:extent cx="4572000" cy="2743200"/>
            <wp:effectExtent l="4445" t="4445" r="14605" b="14605"/>
            <wp:docPr id="1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56</w:t>
      </w:r>
      <w:r>
        <w:rPr>
          <w:rFonts w:hint="eastAsia" w:hAnsi="Calibri" w:cs="Times New Roman"/>
          <w:kern w:val="2"/>
          <w:sz w:val="18"/>
          <w:szCs w:val="18"/>
          <w:lang w:bidi="ar"/>
        </w:rPr>
        <w:fldChar w:fldCharType="end"/>
      </w:r>
      <w:bookmarkStart w:id="282" w:name="_Toc5658"/>
      <w:bookmarkStart w:id="283" w:name="_Toc16873"/>
      <w:r>
        <w:rPr>
          <w:rFonts w:hint="eastAsia" w:hAnsi="Calibri" w:cs="Times New Roman"/>
          <w:kern w:val="2"/>
          <w:szCs w:val="18"/>
          <w:lang w:bidi="ar"/>
        </w:rPr>
        <w:t>：网络安全行业未来一年发展的趋势评价</w:t>
      </w:r>
      <w:bookmarkEnd w:id="282"/>
      <w:bookmarkEnd w:id="283"/>
    </w:p>
    <w:p>
      <w:pPr>
        <w:jc w:val="left"/>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12</w:t>
      </w:r>
      <w:r>
        <w:rPr>
          <w:rFonts w:hint="eastAsia" w:ascii="Calibri" w:hAnsi="Calibri" w:eastAsia="宋体" w:cs="宋体"/>
          <w:lang w:bidi="ar"/>
        </w:rPr>
        <w:t>题：您认为网络安全行业未来一年发展的趋势如何？）</w:t>
      </w:r>
      <w:bookmarkEnd w:id="280"/>
    </w:p>
    <w:p>
      <w:pPr>
        <w:ind w:firstLine="562"/>
        <w:jc w:val="center"/>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（13）网络安全行业协会等社会组织服务情况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协会等社会组织服务情况评价：50.85%从业人员使用过技术培训服务，40.26%使用过继续教育服务，35.16%使用过资质认证服务，30.98%使用过政策宣贯服务，显示技术培训是覆盖率最高的服务，其它服务还有一定的提升空间。</w:t>
      </w:r>
    </w:p>
    <w:p>
      <w:pPr>
        <w:jc w:val="center"/>
      </w:pPr>
      <w:r>
        <w:drawing>
          <wp:inline distT="0" distB="0" distL="114300" distR="114300">
            <wp:extent cx="4572000" cy="2743200"/>
            <wp:effectExtent l="4445" t="4445" r="14605" b="14605"/>
            <wp:docPr id="1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57</w:t>
      </w:r>
      <w:r>
        <w:rPr>
          <w:rFonts w:hint="eastAsia" w:hAnsi="Calibri" w:cs="Times New Roman"/>
          <w:kern w:val="2"/>
          <w:sz w:val="18"/>
          <w:szCs w:val="18"/>
          <w:lang w:bidi="ar"/>
        </w:rPr>
        <w:fldChar w:fldCharType="end"/>
      </w:r>
      <w:bookmarkStart w:id="284" w:name="_Toc21182"/>
      <w:bookmarkStart w:id="285" w:name="_Toc8791"/>
      <w:r>
        <w:rPr>
          <w:rFonts w:hint="eastAsia" w:hAnsi="Calibri" w:cs="Times New Roman"/>
          <w:kern w:val="2"/>
          <w:szCs w:val="18"/>
          <w:lang w:bidi="ar"/>
        </w:rPr>
        <w:t>：网络安全行业协会等社会组织服务情况</w:t>
      </w:r>
      <w:bookmarkEnd w:id="284"/>
      <w:bookmarkEnd w:id="285"/>
    </w:p>
    <w:p>
      <w:pPr>
        <w:jc w:val="left"/>
        <w:rPr>
          <w:rFonts w:asciiTheme="minorEastAsia" w:hAnsiTheme="minorEastAsia" w:cstheme="minorEastAsia"/>
        </w:rPr>
      </w:pPr>
      <w:r>
        <w:rPr>
          <w:rFonts w:hint="eastAsia" w:asciiTheme="minorEastAsia" w:hAnsiTheme="minorEastAsia" w:cstheme="minorEastAsia"/>
          <w:lang w:bidi="ar"/>
        </w:rPr>
        <w:t>（图表数据来源：从业人员版行业发展与生态建设专题第13题：您使用过哪些由网络安全相关行业协会、技术联盟等社会组织提供的服务？）</w:t>
      </w:r>
    </w:p>
    <w:p>
      <w:pPr>
        <w:pStyle w:val="3"/>
      </w:pPr>
      <w:bookmarkStart w:id="286" w:name="_Toc48725399"/>
      <w:bookmarkStart w:id="287" w:name="_Toc6684"/>
      <w:bookmarkStart w:id="288" w:name="_Toc25393"/>
      <w:r>
        <w:t>5.3、</w:t>
      </w:r>
      <w:bookmarkStart w:id="289" w:name="_Hlk48569197"/>
      <w:r>
        <w:t>新技术应用与网络安全</w:t>
      </w:r>
      <w:bookmarkEnd w:id="289"/>
      <w:r>
        <w:t>专题</w:t>
      </w:r>
      <w:bookmarkEnd w:id="286"/>
      <w:bookmarkEnd w:id="287"/>
      <w:bookmarkEnd w:id="288"/>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参与本专题答题的从业人员人数为1192。</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（1）对新技术新应用的网络安全问题的关注度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对新技术新应用的网络安全问题的关注度排列前5位为：5G移动网络（73.32%）、大数据（57.56%）、人工智能（50.65%）、物联网（36.47%）、云计算（33.79%）。数据显示从业人员对新技术的网络安全问题是比较关注的。</w:t>
      </w:r>
    </w:p>
    <w:p>
      <w:pPr>
        <w:jc w:val="center"/>
      </w:pPr>
      <w:r>
        <w:drawing>
          <wp:inline distT="0" distB="0" distL="114300" distR="114300">
            <wp:extent cx="4572000" cy="2743200"/>
            <wp:effectExtent l="4445" t="4445" r="14605" b="14605"/>
            <wp:docPr id="1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58</w:t>
      </w:r>
      <w:r>
        <w:rPr>
          <w:rFonts w:hint="eastAsia" w:hAnsi="Calibri" w:cs="Times New Roman"/>
          <w:kern w:val="2"/>
          <w:sz w:val="18"/>
          <w:szCs w:val="18"/>
          <w:lang w:bidi="ar"/>
        </w:rPr>
        <w:fldChar w:fldCharType="end"/>
      </w:r>
      <w:bookmarkStart w:id="290" w:name="_Toc26278"/>
      <w:bookmarkStart w:id="291" w:name="_Toc29412"/>
      <w:r>
        <w:rPr>
          <w:rFonts w:hint="eastAsia" w:hAnsi="Calibri" w:cs="Times New Roman"/>
          <w:kern w:val="2"/>
          <w:lang w:bidi="ar"/>
        </w:rPr>
        <w:t>：对新技术新应用的网络安全问题的关注度</w:t>
      </w:r>
      <w:bookmarkEnd w:id="290"/>
      <w:bookmarkEnd w:id="291"/>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w:t>
      </w:r>
      <w:r>
        <w:rPr>
          <w:rFonts w:hint="eastAsia" w:ascii="Calibri" w:hAnsi="Calibri" w:eastAsia="宋体" w:cs="宋体"/>
          <w:lang w:bidi="ar"/>
        </w:rPr>
        <w:t>题：您关注过以下哪项新技术新应用的网络安全问题？）</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（2）从业人员5G网络使用情况</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从业人员5G网络使用情况：20%从业人员已经使用5G网络，80%从业人员没有使用5G网络，显示5G网络应用刚起步，从业人员中使用率不算高。</w:t>
      </w:r>
    </w:p>
    <w:p>
      <w:pPr>
        <w:rPr>
          <w:rFonts w:asciiTheme="minorEastAsia" w:hAnsiTheme="minorEastAsia" w:cstheme="minorEastAsia"/>
          <w:sz w:val="28"/>
          <w:szCs w:val="28"/>
          <w:lang w:bidi="ar"/>
        </w:rPr>
      </w:pPr>
      <w:r>
        <w:drawing>
          <wp:inline distT="0" distB="0" distL="114300" distR="114300">
            <wp:extent cx="4572000" cy="2743200"/>
            <wp:effectExtent l="4445" t="4445" r="14605" b="14605"/>
            <wp:docPr id="12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ind w:right="7454" w:rightChars="3106"/>
        <w:jc w:val="center"/>
      </w:pP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59</w:t>
      </w:r>
      <w:r>
        <w:rPr>
          <w:rFonts w:hint="eastAsia" w:hAnsi="Calibri" w:cs="Times New Roman"/>
          <w:kern w:val="2"/>
          <w:sz w:val="18"/>
          <w:szCs w:val="18"/>
          <w:lang w:bidi="ar"/>
        </w:rPr>
        <w:fldChar w:fldCharType="end"/>
      </w:r>
      <w:bookmarkStart w:id="292" w:name="_Toc17866"/>
      <w:bookmarkStart w:id="293" w:name="_Toc27133"/>
      <w:r>
        <w:rPr>
          <w:rFonts w:hint="eastAsia" w:asciiTheme="minorEastAsia" w:hAnsiTheme="minorEastAsia" w:eastAsiaTheme="minorEastAsia" w:cstheme="minorEastAsia"/>
          <w:kern w:val="2"/>
          <w:lang w:bidi="ar"/>
        </w:rPr>
        <w:t>：从业人员5G网络使用率</w:t>
      </w:r>
      <w:bookmarkEnd w:id="292"/>
      <w:bookmarkEnd w:id="293"/>
    </w:p>
    <w:p>
      <w:pPr>
        <w:jc w:val="left"/>
        <w:rPr>
          <w:rFonts w:asciiTheme="minorEastAsia" w:hAnsiTheme="minorEastAsia" w:cstheme="minorEastAsia"/>
          <w:lang w:bidi="ar"/>
        </w:rPr>
      </w:pPr>
      <w:r>
        <w:rPr>
          <w:rFonts w:hint="eastAsia" w:asciiTheme="minorEastAsia" w:hAnsiTheme="minorEastAsia" w:cstheme="minorEastAsia"/>
          <w:lang w:bidi="ar"/>
        </w:rPr>
        <w:t>（图表数据来源：从业人员版新技术应用与网络安全专题第2题：您目前是否正在使用5G网络？）</w:t>
      </w:r>
    </w:p>
    <w:p>
      <w:pPr>
        <w:jc w:val="center"/>
        <w:rPr>
          <w:rFonts w:asciiTheme="minorEastAsia" w:hAnsiTheme="minorEastAsia" w:cstheme="minorEastAsia"/>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（2.1）对5G网络使用体验的评价</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从业人员对5G网络使用体验评价：49.56%从业人员认为5G上网很快很好用；23.45%从业人员认为5G流量用的太快，费用有点高；20.80%认为5G和4G差不多，感觉一般；还有18.14%认为5G信号不稳定不是很好用。</w:t>
      </w:r>
    </w:p>
    <w:p>
      <w:pPr>
        <w:jc w:val="center"/>
      </w:pPr>
      <w:r>
        <w:drawing>
          <wp:inline distT="0" distB="0" distL="114300" distR="114300">
            <wp:extent cx="4919345" cy="2506345"/>
            <wp:effectExtent l="4445" t="4445" r="10160" b="22860"/>
            <wp:docPr id="12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60</w:t>
      </w:r>
      <w:r>
        <w:rPr>
          <w:rFonts w:hint="eastAsia" w:hAnsi="Calibri" w:cs="Times New Roman"/>
          <w:kern w:val="2"/>
          <w:sz w:val="18"/>
          <w:szCs w:val="18"/>
          <w:lang w:bidi="ar"/>
        </w:rPr>
        <w:fldChar w:fldCharType="end"/>
      </w:r>
      <w:bookmarkStart w:id="294" w:name="_Toc23210"/>
      <w:bookmarkStart w:id="295" w:name="_Toc14264"/>
      <w:r>
        <w:rPr>
          <w:rFonts w:hint="eastAsia" w:asciiTheme="minorEastAsia" w:hAnsiTheme="minorEastAsia" w:eastAsiaTheme="minorEastAsia" w:cstheme="minorEastAsia"/>
          <w:kern w:val="2"/>
          <w:lang w:bidi="ar"/>
        </w:rPr>
        <w:t>：对5G网络使用体验的评价</w:t>
      </w:r>
      <w:bookmarkEnd w:id="294"/>
      <w:bookmarkEnd w:id="295"/>
    </w:p>
    <w:p>
      <w:pPr>
        <w:jc w:val="left"/>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（图表数据来源：从业人员版新技术应用与网络安全专题第2.1题：使用5G网络的感受是？）（本题是由使用过5G的人回答，答题人数258）</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（2.2）目前不使用5G网络的原因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不使用5G网络的原因排前3位为：1想用但要换手机（51.64%）、2网络覆盖面小，想用但用不上（39.52%）、3套餐费用高，用不起（37.12%）；4先等网络稳定看再考虑（35.70%）。数据显示手机终端、使用成本、网络质量等问题是从业人员使用5G考虑的主要因素。</w:t>
      </w:r>
    </w:p>
    <w:p>
      <w:pPr>
        <w:ind w:right="7454" w:rightChars="3106"/>
      </w:pPr>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61</w:t>
      </w:r>
      <w:r>
        <w:rPr>
          <w:rFonts w:hint="eastAsia" w:hAnsi="Calibri" w:cs="Times New Roman"/>
          <w:kern w:val="2"/>
          <w:sz w:val="18"/>
          <w:szCs w:val="18"/>
          <w:lang w:bidi="ar"/>
        </w:rPr>
        <w:fldChar w:fldCharType="end"/>
      </w:r>
      <w:bookmarkStart w:id="296" w:name="_Toc15995"/>
      <w:bookmarkStart w:id="297" w:name="_Toc27714"/>
      <w:r>
        <w:rPr>
          <w:rFonts w:hint="eastAsia" w:hAnsi="Calibri" w:cs="Times New Roman"/>
          <w:kern w:val="2"/>
          <w:szCs w:val="20"/>
          <w:lang w:bidi="ar"/>
        </w:rPr>
        <w:t>：目前不使用5G网络的原因</w:t>
      </w:r>
      <w:bookmarkEnd w:id="296"/>
      <w:bookmarkEnd w:id="297"/>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2.2</w:t>
      </w:r>
      <w:r>
        <w:rPr>
          <w:rFonts w:hint="eastAsia" w:ascii="Calibri" w:hAnsi="Calibri" w:eastAsia="宋体" w:cs="宋体"/>
          <w:lang w:bidi="ar"/>
        </w:rPr>
        <w:t>题：目前不使用</w:t>
      </w:r>
      <w:r>
        <w:rPr>
          <w:rFonts w:ascii="Calibri" w:hAnsi="Calibri" w:eastAsia="宋体"/>
          <w:lang w:bidi="ar"/>
        </w:rPr>
        <w:t>5G</w:t>
      </w:r>
      <w:r>
        <w:rPr>
          <w:rFonts w:hint="eastAsia" w:ascii="Calibri" w:hAnsi="Calibri" w:eastAsia="宋体" w:cs="宋体"/>
          <w:lang w:bidi="ar"/>
        </w:rPr>
        <w:t>网络的原因是？）</w:t>
      </w:r>
    </w:p>
    <w:p/>
    <w:p>
      <w:pPr>
        <w:ind w:firstLine="420" w:firstLineChars="15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（3）对5G技术的顾虑</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从业人员对5G技术的顾虑主要有：1比4G服务收费更高（65.08%），2网络覆盖面小（58.41%），3技术不成熟出现网络错误或卡顿（34.32%），4网络不安全（26.34%）。</w:t>
      </w:r>
    </w:p>
    <w:p>
      <w:pPr>
        <w:rPr>
          <w:rFonts w:asciiTheme="minorEastAsia" w:hAnsiTheme="minorEastAsia" w:cstheme="minorEastAsia"/>
          <w:sz w:val="28"/>
          <w:szCs w:val="28"/>
          <w:lang w:bidi="ar"/>
        </w:rPr>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62</w:t>
      </w:r>
      <w:r>
        <w:rPr>
          <w:rFonts w:hint="eastAsia" w:hAnsi="Calibri" w:cs="Times New Roman"/>
          <w:kern w:val="2"/>
          <w:sz w:val="18"/>
          <w:szCs w:val="18"/>
          <w:lang w:bidi="ar"/>
        </w:rPr>
        <w:fldChar w:fldCharType="end"/>
      </w:r>
      <w:bookmarkStart w:id="298" w:name="_Toc21161"/>
      <w:bookmarkStart w:id="299" w:name="_Toc26286"/>
      <w:r>
        <w:rPr>
          <w:rFonts w:hint="eastAsia" w:hAnsi="Calibri" w:cs="Times New Roman"/>
          <w:kern w:val="2"/>
          <w:szCs w:val="20"/>
          <w:lang w:bidi="ar"/>
        </w:rPr>
        <w:t>：对5G技术的顾虑</w:t>
      </w:r>
      <w:bookmarkEnd w:id="298"/>
      <w:bookmarkEnd w:id="299"/>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3</w:t>
      </w:r>
      <w:r>
        <w:rPr>
          <w:rFonts w:hint="eastAsia" w:ascii="Calibri" w:hAnsi="Calibri" w:eastAsia="宋体" w:cs="宋体"/>
          <w:lang w:bidi="ar"/>
        </w:rPr>
        <w:t>题：您对</w:t>
      </w:r>
      <w:r>
        <w:rPr>
          <w:rFonts w:ascii="Calibri" w:hAnsi="Calibri" w:eastAsia="宋体"/>
          <w:lang w:bidi="ar"/>
        </w:rPr>
        <w:t>5G</w:t>
      </w:r>
      <w:r>
        <w:rPr>
          <w:rFonts w:hint="eastAsia" w:ascii="Calibri" w:hAnsi="Calibri" w:eastAsia="宋体" w:cs="宋体"/>
          <w:lang w:bidi="ar"/>
        </w:rPr>
        <w:t>技术存在哪些顾虑？）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（4）人工智能(AI)可以发挥优势的领域</w:t>
      </w:r>
    </w:p>
    <w:p>
      <w:pPr>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从业人员对人工智能(AI)可以发挥优势的领域认为：医疗（73.68%）、</w:t>
      </w:r>
      <w:bookmarkStart w:id="300" w:name="_Hlk48571162"/>
      <w:r>
        <w:rPr>
          <w:rFonts w:hint="eastAsia" w:asciiTheme="minorEastAsia" w:hAnsiTheme="minorEastAsia" w:cstheme="minorEastAsia"/>
          <w:sz w:val="28"/>
          <w:szCs w:val="28"/>
          <w:lang w:bidi="ar"/>
        </w:rPr>
        <w:t>交通（72.73%）</w:t>
      </w:r>
      <w:bookmarkEnd w:id="300"/>
      <w:r>
        <w:rPr>
          <w:rFonts w:hint="eastAsia" w:asciiTheme="minorEastAsia" w:hAnsiTheme="minorEastAsia" w:cstheme="minorEastAsia"/>
          <w:sz w:val="28"/>
          <w:szCs w:val="28"/>
          <w:lang w:bidi="ar"/>
        </w:rPr>
        <w:t>、教育（56.36%）、工业制造（43.64%）和农业（39.05%）等领域人工智能可以发挥优势。</w:t>
      </w:r>
    </w:p>
    <w:p>
      <w:pPr>
        <w:jc w:val="cente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63</w:t>
      </w:r>
      <w:r>
        <w:rPr>
          <w:rFonts w:hint="eastAsia" w:hAnsi="Calibri" w:cs="Times New Roman"/>
          <w:kern w:val="2"/>
          <w:sz w:val="18"/>
          <w:szCs w:val="18"/>
          <w:lang w:bidi="ar"/>
        </w:rPr>
        <w:fldChar w:fldCharType="end"/>
      </w:r>
      <w:bookmarkStart w:id="301" w:name="_Toc3523"/>
      <w:bookmarkStart w:id="302" w:name="_Toc24724"/>
      <w:r>
        <w:rPr>
          <w:rFonts w:hint="eastAsia" w:hAnsi="Calibri" w:cs="Times New Roman"/>
          <w:kern w:val="2"/>
          <w:szCs w:val="20"/>
          <w:lang w:bidi="ar"/>
        </w:rPr>
        <w:t>：人工智能(AI)可以发挥优势的领域</w:t>
      </w:r>
      <w:bookmarkEnd w:id="301"/>
      <w:bookmarkEnd w:id="302"/>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4</w:t>
      </w:r>
      <w:r>
        <w:rPr>
          <w:rFonts w:hint="eastAsia" w:ascii="Calibri" w:hAnsi="Calibri" w:eastAsia="宋体" w:cs="宋体"/>
          <w:lang w:bidi="ar"/>
        </w:rPr>
        <w:t>题：您最期待人工智能</w:t>
      </w:r>
      <w:r>
        <w:rPr>
          <w:rFonts w:ascii="Calibri" w:hAnsi="Calibri" w:eastAsia="宋体"/>
          <w:lang w:bidi="ar"/>
        </w:rPr>
        <w:t>(AI)</w:t>
      </w:r>
      <w:r>
        <w:rPr>
          <w:rFonts w:hint="eastAsia" w:ascii="Calibri" w:hAnsi="Calibri" w:eastAsia="宋体" w:cs="宋体"/>
          <w:lang w:bidi="ar"/>
        </w:rPr>
        <w:t>在哪些领域发挥优势？）</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（5）目前人工智能应用发展面临的阻力</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从业人员对目前人工智能应用发展面临的阻力排前3位为：1技术有待成熟（72.55%），2安全隐私问题（65.68%），3应用普及（54.56%），数据显示技术成熟度、安全隐私保护问题等是从业人员关注的重点。</w:t>
      </w:r>
    </w:p>
    <w:p>
      <w:pPr>
        <w:ind w:firstLine="360" w:firstLineChars="150"/>
        <w:jc w:val="center"/>
      </w:pPr>
      <w:r>
        <w:drawing>
          <wp:inline distT="0" distB="0" distL="114300" distR="114300">
            <wp:extent cx="4572000" cy="2743200"/>
            <wp:effectExtent l="4445" t="4445" r="14605" b="14605"/>
            <wp:docPr id="12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64</w:t>
      </w:r>
      <w:r>
        <w:rPr>
          <w:rFonts w:hint="eastAsia" w:hAnsi="Calibri" w:cs="Times New Roman"/>
          <w:kern w:val="2"/>
          <w:sz w:val="18"/>
          <w:szCs w:val="18"/>
          <w:lang w:bidi="ar"/>
        </w:rPr>
        <w:fldChar w:fldCharType="end"/>
      </w:r>
      <w:bookmarkStart w:id="303" w:name="_Toc4452"/>
      <w:bookmarkStart w:id="304" w:name="_Toc29484"/>
      <w:r>
        <w:rPr>
          <w:rFonts w:hint="eastAsia" w:hAnsi="Calibri" w:cs="Times New Roman"/>
          <w:kern w:val="2"/>
          <w:szCs w:val="20"/>
          <w:lang w:bidi="ar"/>
        </w:rPr>
        <w:t>：目前人工智能应用的发展面临的最大阻力</w:t>
      </w:r>
      <w:bookmarkEnd w:id="303"/>
      <w:bookmarkEnd w:id="304"/>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5</w:t>
      </w:r>
      <w:r>
        <w:rPr>
          <w:rFonts w:hint="eastAsia" w:ascii="Calibri" w:hAnsi="Calibri" w:eastAsia="宋体" w:cs="宋体"/>
          <w:lang w:bidi="ar"/>
        </w:rPr>
        <w:t>题：您认为目前人工智能应用的发展面临的最大阻力是？）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（6）对“AI换脸”应用等“深度伪造”为代表的新技术新应用的看法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AI换脸”应用等“深度伪造”为代表的新技术新应用的看法排前3位为：1减低了生物识别技术可信度（70.32%）、2催生网络黑灰产业、带来社会风险（65.97%）、3深度伪造技术滥用危害国家安全（50.65%）。数据显示从业人员对深度伪造技术是比较担心的。</w:t>
      </w:r>
    </w:p>
    <w:p>
      <w:pPr>
        <w:jc w:val="center"/>
      </w:pPr>
      <w:r>
        <w:drawing>
          <wp:inline distT="0" distB="0" distL="114300" distR="114300">
            <wp:extent cx="5373370" cy="3325495"/>
            <wp:effectExtent l="5080" t="4445" r="12700" b="2286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65</w:t>
      </w:r>
      <w:r>
        <w:rPr>
          <w:rFonts w:hint="eastAsia" w:hAnsi="Calibri" w:cs="Times New Roman"/>
          <w:kern w:val="2"/>
          <w:sz w:val="18"/>
          <w:szCs w:val="18"/>
          <w:lang w:bidi="ar"/>
        </w:rPr>
        <w:fldChar w:fldCharType="end"/>
      </w:r>
      <w:bookmarkStart w:id="305" w:name="_Toc31142"/>
      <w:bookmarkStart w:id="306" w:name="_Toc10505"/>
      <w:r>
        <w:rPr>
          <w:rFonts w:hint="eastAsia" w:hAnsi="Calibri" w:cs="Times New Roman"/>
          <w:kern w:val="2"/>
          <w:lang w:bidi="ar"/>
        </w:rPr>
        <w:t>：对“AI换脸”应用等“深度伪造”为代表的新技术新应用的看法</w:t>
      </w:r>
      <w:bookmarkEnd w:id="305"/>
      <w:bookmarkEnd w:id="306"/>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6</w:t>
      </w:r>
      <w:r>
        <w:rPr>
          <w:rFonts w:hint="eastAsia" w:ascii="Calibri" w:hAnsi="Calibri" w:eastAsia="宋体" w:cs="宋体"/>
          <w:lang w:bidi="ar"/>
        </w:rPr>
        <w:t>题：近两年出现了“</w:t>
      </w:r>
      <w:r>
        <w:rPr>
          <w:rFonts w:ascii="Calibri" w:hAnsi="Calibri" w:eastAsia="宋体"/>
          <w:lang w:bidi="ar"/>
        </w:rPr>
        <w:t>AI</w:t>
      </w:r>
      <w:r>
        <w:rPr>
          <w:rFonts w:hint="eastAsia" w:ascii="Calibri" w:hAnsi="Calibri" w:eastAsia="宋体" w:cs="宋体"/>
          <w:lang w:bidi="ar"/>
        </w:rPr>
        <w:t>换脸”应用，您怎么看这种以“深度伪造”为代表的新技术新应用？）</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（7）对区块链的认识</w:t>
      </w:r>
    </w:p>
    <w:p>
      <w:pPr>
        <w:ind w:firstLine="560"/>
      </w:pPr>
      <w:r>
        <w:rPr>
          <w:rFonts w:hint="eastAsia" w:asciiTheme="minorEastAsia" w:hAnsiTheme="minorEastAsia" w:cstheme="minorEastAsia"/>
          <w:sz w:val="28"/>
          <w:szCs w:val="28"/>
          <w:lang w:bidi="ar"/>
        </w:rPr>
        <w:t>从业人员对区块链的认识看法为：43.16%从业人员认为一般，偶尔看到区块链的信息；28.42%从业人员对区块链不了解，听说过；也有15.08%完全不了解。数据显示从业人员对区块链了解程度一般或不高。</w:t>
      </w:r>
    </w:p>
    <w:p>
      <w:pPr>
        <w:jc w:val="center"/>
      </w:pPr>
      <w:r>
        <w:drawing>
          <wp:inline distT="0" distB="0" distL="114300" distR="114300">
            <wp:extent cx="4738370" cy="3230880"/>
            <wp:effectExtent l="5080" t="4445" r="19050" b="222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66</w:t>
      </w:r>
      <w:r>
        <w:rPr>
          <w:rFonts w:hint="eastAsia" w:hAnsi="Calibri" w:cs="Times New Roman"/>
          <w:kern w:val="2"/>
          <w:sz w:val="18"/>
          <w:szCs w:val="18"/>
          <w:lang w:bidi="ar"/>
        </w:rPr>
        <w:fldChar w:fldCharType="end"/>
      </w:r>
      <w:bookmarkStart w:id="307" w:name="_Toc21170"/>
      <w:r>
        <w:rPr>
          <w:rFonts w:hint="eastAsia" w:hAnsi="Calibri" w:cs="Times New Roman"/>
          <w:kern w:val="2"/>
          <w:szCs w:val="20"/>
          <w:lang w:bidi="ar"/>
        </w:rPr>
        <w:t>：对区块链的了解程度</w:t>
      </w:r>
      <w:bookmarkEnd w:id="307"/>
    </w:p>
    <w:p>
      <w:pPr>
        <w:jc w:val="left"/>
      </w:pPr>
      <w:r>
        <w:rPr>
          <w:rFonts w:hint="eastAsia" w:ascii="Calibri" w:hAnsi="Calibri" w:eastAsia="宋体" w:cs="宋体"/>
          <w:lang w:bidi="ar"/>
        </w:rPr>
        <w:t>（图表数据来源：</w:t>
      </w:r>
      <w:bookmarkStart w:id="308" w:name="_Hlk48644502"/>
      <w:r>
        <w:rPr>
          <w:rFonts w:hint="eastAsia" w:ascii="Calibri" w:hAnsi="Calibri" w:eastAsia="宋体" w:cs="宋体"/>
          <w:lang w:bidi="ar"/>
        </w:rPr>
        <w:t>从业人员版新技术应用与网络安全专题第</w:t>
      </w:r>
      <w:bookmarkEnd w:id="308"/>
      <w:r>
        <w:rPr>
          <w:rFonts w:ascii="Calibri" w:hAnsi="Calibri" w:eastAsia="宋体"/>
          <w:lang w:bidi="ar"/>
        </w:rPr>
        <w:t>7</w:t>
      </w:r>
      <w:r>
        <w:rPr>
          <w:rFonts w:hint="eastAsia" w:ascii="Calibri" w:hAnsi="Calibri" w:eastAsia="宋体" w:cs="宋体"/>
          <w:lang w:bidi="ar"/>
        </w:rPr>
        <w:t>题：对区块链，您了解多少？）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（8）区块链未来发展趋势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区块链未来发展趋势的看法：认为会广泛应用于各行业领域最多，占44.85%，认为只会在某些领域（金融）兴盛的占24%和认为无法预料的占27.66%，认为只是一时兴起，最终会被淘汰的3.49%。看好区块链发展的比例不低。</w:t>
      </w:r>
    </w:p>
    <w:p>
      <w:pPr>
        <w:jc w:val="center"/>
      </w:pPr>
      <w: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67</w:t>
      </w:r>
      <w:r>
        <w:rPr>
          <w:rFonts w:hint="eastAsia" w:hAnsi="Calibri" w:cs="Times New Roman"/>
          <w:kern w:val="2"/>
          <w:sz w:val="18"/>
          <w:szCs w:val="18"/>
          <w:lang w:bidi="ar"/>
        </w:rPr>
        <w:fldChar w:fldCharType="end"/>
      </w:r>
      <w:bookmarkStart w:id="309" w:name="_Toc3167"/>
      <w:bookmarkStart w:id="310" w:name="_Toc25907"/>
      <w:r>
        <w:rPr>
          <w:rFonts w:hint="eastAsia" w:hAnsi="Calibri" w:cs="Times New Roman"/>
          <w:kern w:val="2"/>
          <w:szCs w:val="20"/>
          <w:lang w:bidi="ar"/>
        </w:rPr>
        <w:t>：区块链未来发展趋势的看法</w:t>
      </w:r>
      <w:bookmarkEnd w:id="309"/>
      <w:bookmarkEnd w:id="310"/>
    </w:p>
    <w:p>
      <w:pPr>
        <w:jc w:val="left"/>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8</w:t>
      </w:r>
      <w:r>
        <w:rPr>
          <w:rFonts w:hint="eastAsia" w:ascii="Calibri" w:hAnsi="Calibri" w:eastAsia="宋体" w:cs="宋体"/>
          <w:lang w:bidi="ar"/>
        </w:rPr>
        <w:t>题：您觉得区块链未来发展会如何？）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（9）所在单位对大数据技术应用情况</w:t>
      </w:r>
    </w:p>
    <w:p>
      <w:pPr>
        <w:ind w:firstLine="560"/>
      </w:pPr>
      <w:r>
        <w:rPr>
          <w:rFonts w:hint="eastAsia" w:asciiTheme="minorEastAsia" w:hAnsiTheme="minorEastAsia" w:cstheme="minorEastAsia"/>
          <w:sz w:val="28"/>
          <w:szCs w:val="28"/>
          <w:lang w:bidi="ar"/>
        </w:rPr>
        <w:t>从业人员所在单位对大数据技术的应用情况方面，53%的从业人员所在单位有应用了大数据技术；21%的从业人员所在单位没有应用大数据技术，26%表示不清楚。数据显示大数据开始在从业人员单位得到较广泛的应用。</w:t>
      </w:r>
    </w:p>
    <w:p>
      <w:pPr>
        <w:ind w:leftChars="-118" w:hanging="283" w:hangingChars="118"/>
        <w:jc w:val="center"/>
      </w:pPr>
      <w:r>
        <w:drawing>
          <wp:inline distT="0" distB="0" distL="114300" distR="114300">
            <wp:extent cx="4584700" cy="2720340"/>
            <wp:effectExtent l="4445" t="4445" r="20955" b="18415"/>
            <wp:docPr id="12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68</w:t>
      </w:r>
      <w:r>
        <w:rPr>
          <w:rFonts w:hint="eastAsia" w:hAnsi="Calibri" w:cs="Times New Roman"/>
          <w:kern w:val="2"/>
          <w:sz w:val="18"/>
          <w:szCs w:val="18"/>
          <w:lang w:bidi="ar"/>
        </w:rPr>
        <w:fldChar w:fldCharType="end"/>
      </w:r>
      <w:bookmarkStart w:id="311" w:name="_Toc31542"/>
      <w:bookmarkStart w:id="312" w:name="_Toc30341"/>
      <w:r>
        <w:rPr>
          <w:rFonts w:hint="eastAsia" w:hAnsi="Calibri" w:cs="Times New Roman"/>
          <w:kern w:val="2"/>
          <w:szCs w:val="20"/>
          <w:lang w:bidi="ar"/>
        </w:rPr>
        <w:t>：所在单位大数据技术应用情况</w:t>
      </w:r>
      <w:bookmarkEnd w:id="311"/>
      <w:bookmarkEnd w:id="312"/>
    </w:p>
    <w:p>
      <w:pPr>
        <w:jc w:val="left"/>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9</w:t>
      </w:r>
      <w:r>
        <w:rPr>
          <w:rFonts w:hint="eastAsia" w:ascii="Calibri" w:hAnsi="Calibri" w:eastAsia="宋体" w:cs="宋体"/>
          <w:lang w:bidi="ar"/>
        </w:rPr>
        <w:t>题：您现所在单位是否应用了大数据技术？）</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（10）目前大数据技术应用存在的问题</w:t>
      </w:r>
    </w:p>
    <w:p>
      <w:pPr>
        <w:ind w:firstLine="560"/>
        <w:rPr>
          <w:rFonts w:hAnsi="Calibri" w:cs="Times New Roman"/>
          <w:lang w:bidi="ar"/>
        </w:rPr>
      </w:pPr>
      <w:r>
        <w:rPr>
          <w:rFonts w:hint="eastAsia" w:asciiTheme="minorEastAsia" w:hAnsiTheme="minorEastAsia" w:cstheme="minorEastAsia"/>
          <w:sz w:val="28"/>
          <w:szCs w:val="28"/>
          <w:lang w:bidi="ar"/>
        </w:rPr>
        <w:t>目前大数据技术应用存在的问题排前5位是：1专业人员匮乏（关注度58.28%），2监管制度不完善（51.31%），3缺少数据共享政策规范支持（48.69%），4数据采集渠道不畅（48.43%），5没有相关预算（29.70%）。数据显示人才、制度、渠道、规范等问题是大家比较关注的。</w:t>
      </w:r>
    </w:p>
    <w:p>
      <w:pPr>
        <w:pStyle w:val="14"/>
        <w:widowControl w:val="0"/>
        <w:adjustRightInd w:val="0"/>
        <w:snapToGrid w:val="0"/>
        <w:spacing w:before="0" w:beforeAutospacing="0" w:after="0" w:afterAutospacing="0" w:line="360" w:lineRule="auto"/>
        <w:ind w:firstLine="480" w:firstLineChars="200"/>
        <w:jc w:val="center"/>
        <w:rPr>
          <w:rFonts w:hAnsi="Calibri" w:cs="Times New Roman"/>
          <w:kern w:val="2"/>
          <w:lang w:bidi="ar"/>
        </w:rPr>
      </w:pPr>
      <w:r>
        <w:drawing>
          <wp:inline distT="0" distB="0" distL="114300" distR="114300">
            <wp:extent cx="4809490" cy="3364230"/>
            <wp:effectExtent l="4445" t="4445" r="5715" b="22225"/>
            <wp:docPr id="12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lang w:bidi="ar"/>
        </w:rPr>
        <w:fldChar w:fldCharType="begin"/>
      </w:r>
      <w:r>
        <w:rPr>
          <w:rFonts w:hint="eastAsia" w:hAnsi="Calibri" w:cs="Times New Roman"/>
          <w:kern w:val="2"/>
          <w:lang w:bidi="ar"/>
        </w:rPr>
        <w:instrText xml:space="preserve"> SEQ 图表 \* ARABIC </w:instrText>
      </w:r>
      <w:r>
        <w:rPr>
          <w:rFonts w:hint="eastAsia" w:hAnsi="Calibri" w:cs="Times New Roman"/>
          <w:kern w:val="2"/>
          <w:lang w:bidi="ar"/>
        </w:rPr>
        <w:fldChar w:fldCharType="separate"/>
      </w:r>
      <w:r>
        <w:rPr>
          <w:rFonts w:hAnsi="Calibri" w:cs="Times New Roman"/>
          <w:kern w:val="2"/>
          <w:lang w:bidi="ar"/>
        </w:rPr>
        <w:t>69</w:t>
      </w:r>
      <w:r>
        <w:rPr>
          <w:rFonts w:hint="eastAsia" w:hAnsi="Calibri" w:cs="Times New Roman"/>
          <w:kern w:val="2"/>
          <w:lang w:bidi="ar"/>
        </w:rPr>
        <w:fldChar w:fldCharType="end"/>
      </w:r>
      <w:bookmarkStart w:id="313" w:name="_Toc31249"/>
      <w:bookmarkStart w:id="314" w:name="_Toc3043"/>
      <w:r>
        <w:rPr>
          <w:rFonts w:hint="eastAsia" w:hAnsi="Calibri" w:cs="Times New Roman"/>
          <w:kern w:val="2"/>
          <w:lang w:bidi="ar"/>
        </w:rPr>
        <w:t>：目前大数据技术应用存在的问题</w:t>
      </w:r>
      <w:bookmarkEnd w:id="313"/>
      <w:bookmarkEnd w:id="314"/>
    </w:p>
    <w:p>
      <w:r>
        <w:rPr>
          <w:rFonts w:hint="eastAsia" w:ascii="Calibri" w:hAnsi="Calibri" w:eastAsia="宋体" w:cs="宋体"/>
          <w:lang w:bidi="ar"/>
        </w:rPr>
        <w:t>（图表数据来源：从业人员版新技术应用与网络安全专题第</w:t>
      </w:r>
      <w:r>
        <w:rPr>
          <w:rFonts w:ascii="Calibri" w:hAnsi="Calibri" w:eastAsia="宋体"/>
          <w:lang w:bidi="ar"/>
        </w:rPr>
        <w:t>10</w:t>
      </w:r>
      <w:r>
        <w:rPr>
          <w:rFonts w:hint="eastAsia" w:ascii="Calibri" w:hAnsi="Calibri" w:eastAsia="宋体" w:cs="宋体"/>
          <w:lang w:bidi="ar"/>
        </w:rPr>
        <w:t>题：您认为目前大数据技术应用上存在哪些问题？）</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（11）对物联网的应用的感受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从业人员对物联网应用的感受排前3位是：1智能家居领域（关注度70.98%）2智能物流（47.38%），3智能交通（44.14%）。显示在智能家居、物流、交通等领域物联网技术应用比较广泛。</w:t>
      </w:r>
    </w:p>
    <w:p>
      <w:pPr>
        <w:jc w:val="center"/>
      </w:pPr>
      <w:r>
        <w:drawing>
          <wp:inline distT="0" distB="0" distL="114300" distR="114300">
            <wp:extent cx="4822190" cy="3267075"/>
            <wp:effectExtent l="4445" t="4445" r="12065" b="5080"/>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70</w:t>
      </w:r>
      <w:r>
        <w:rPr>
          <w:rFonts w:hint="eastAsia" w:hAnsi="Calibri" w:cs="Times New Roman"/>
          <w:kern w:val="2"/>
          <w:sz w:val="18"/>
          <w:szCs w:val="18"/>
          <w:lang w:bidi="ar"/>
        </w:rPr>
        <w:fldChar w:fldCharType="end"/>
      </w:r>
      <w:bookmarkStart w:id="315" w:name="_Toc18675"/>
      <w:bookmarkStart w:id="316" w:name="_Toc26370"/>
      <w:r>
        <w:rPr>
          <w:rFonts w:hint="eastAsia" w:asciiTheme="minorEastAsia" w:hAnsiTheme="minorEastAsia" w:eastAsiaTheme="minorEastAsia" w:cstheme="minorEastAsia"/>
          <w:kern w:val="2"/>
          <w:szCs w:val="18"/>
          <w:lang w:bidi="ar"/>
        </w:rPr>
        <w:t>：体验过物联网应用的领域</w:t>
      </w:r>
      <w:bookmarkEnd w:id="315"/>
      <w:bookmarkEnd w:id="316"/>
    </w:p>
    <w:p>
      <w:pPr>
        <w:jc w:val="left"/>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（图表数据来源：从业人员版新技术应用与网络安全专题第11题：您在哪些领域体验过物联网的应用？）</w:t>
      </w:r>
    </w:p>
    <w:p>
      <w:pPr>
        <w:spacing w:line="240" w:lineRule="auto"/>
        <w:ind w:firstLine="562"/>
        <w:rPr>
          <w:rFonts w:asciiTheme="minorEastAsia" w:hAnsiTheme="minorEastAsia" w:cstheme="minorEastAsia"/>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（12）物联网安全风险认知</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下的物联网安全风险看法为：73.04%认为信息安全风险高，60.09%认为物联网设备不安全，46.70%从业人员认为物联网使用人员易误操作，44.61%认为企业未建立完善的安全管理机制。数据显示从业人员对物联网的安全风险是比较担心的。</w:t>
      </w:r>
    </w:p>
    <w:p>
      <w:pPr>
        <w:jc w:val="center"/>
      </w:pPr>
      <w:r>
        <w:drawing>
          <wp:inline distT="0" distB="0" distL="114300" distR="114300">
            <wp:extent cx="5249545" cy="3676650"/>
            <wp:effectExtent l="4445" t="4445" r="22860"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71</w:t>
      </w:r>
      <w:r>
        <w:rPr>
          <w:rFonts w:hint="eastAsia" w:hAnsi="Calibri" w:cs="Times New Roman"/>
          <w:kern w:val="2"/>
          <w:sz w:val="18"/>
          <w:szCs w:val="18"/>
          <w:lang w:bidi="ar"/>
        </w:rPr>
        <w:fldChar w:fldCharType="end"/>
      </w:r>
      <w:bookmarkStart w:id="317" w:name="_Toc14316"/>
      <w:bookmarkStart w:id="318" w:name="_Toc10497"/>
      <w:r>
        <w:rPr>
          <w:rFonts w:hint="eastAsia" w:hAnsi="Calibri" w:cs="Times New Roman"/>
          <w:kern w:val="2"/>
          <w:szCs w:val="18"/>
          <w:lang w:bidi="ar"/>
        </w:rPr>
        <w:t>：物联网安全风险</w:t>
      </w:r>
      <w:bookmarkEnd w:id="317"/>
      <w:bookmarkEnd w:id="318"/>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12</w:t>
      </w:r>
      <w:r>
        <w:rPr>
          <w:rFonts w:hint="eastAsia" w:ascii="Calibri" w:hAnsi="Calibri" w:eastAsia="宋体" w:cs="宋体"/>
          <w:lang w:bidi="ar"/>
        </w:rPr>
        <w:t>题：您认为当下的物联网安全风险主要存在哪些方面？）</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（13）数字政府和智慧城市的网络安全状况评价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从业人员对数字政府和智慧城市的网络安全状况评价：13.21%从业人员认为非常安全，41.47%认为比较安全，40.42%认为一般。数据显示超过一半的从业人员认为数字政府和智慧城市的网络安全状况是比较安全的。</w:t>
      </w:r>
    </w:p>
    <w:p>
      <w:pPr>
        <w:jc w:val="center"/>
      </w:pPr>
      <w:r>
        <w:drawing>
          <wp:inline distT="0" distB="0" distL="114300" distR="114300">
            <wp:extent cx="5047615" cy="3684270"/>
            <wp:effectExtent l="4445" t="4445" r="15240" b="698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72</w:t>
      </w:r>
      <w:r>
        <w:rPr>
          <w:rFonts w:hint="eastAsia" w:hAnsi="Calibri" w:cs="Times New Roman"/>
          <w:kern w:val="2"/>
          <w:sz w:val="18"/>
          <w:szCs w:val="18"/>
          <w:lang w:bidi="ar"/>
        </w:rPr>
        <w:fldChar w:fldCharType="end"/>
      </w:r>
      <w:bookmarkStart w:id="319" w:name="_Toc30022"/>
      <w:bookmarkStart w:id="320" w:name="_Toc19887"/>
      <w:r>
        <w:rPr>
          <w:rFonts w:hint="eastAsia" w:hAnsi="Calibri" w:cs="Times New Roman"/>
          <w:kern w:val="2"/>
          <w:szCs w:val="18"/>
          <w:lang w:bidi="ar"/>
        </w:rPr>
        <w:t>：数字政府和智慧城市的网络安全状况评价</w:t>
      </w:r>
      <w:bookmarkEnd w:id="319"/>
      <w:bookmarkEnd w:id="320"/>
    </w:p>
    <w:p>
      <w:pPr>
        <w:jc w:val="left"/>
      </w:pPr>
      <w:r>
        <w:rPr>
          <w:rFonts w:hint="eastAsia" w:ascii="Calibri" w:hAnsi="Calibri" w:eastAsia="宋体" w:cs="宋体"/>
          <w:lang w:bidi="ar"/>
        </w:rPr>
        <w:t>（图表数据来源：从业人员版新技术应用与网络安全专题第</w:t>
      </w:r>
      <w:r>
        <w:rPr>
          <w:rFonts w:ascii="Calibri" w:hAnsi="Calibri" w:eastAsia="宋体"/>
          <w:lang w:bidi="ar"/>
        </w:rPr>
        <w:t>13</w:t>
      </w:r>
      <w:r>
        <w:rPr>
          <w:rFonts w:hint="eastAsia" w:ascii="Calibri" w:hAnsi="Calibri" w:eastAsia="宋体" w:cs="宋体"/>
          <w:lang w:bidi="ar"/>
        </w:rPr>
        <w:t>题：您对数字政府和智慧城市的网络安全状况评价？）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（14）数字政府和智慧城市中新技术的应用效果评价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从业人员对数字政府和智慧城市中新技术的应用效果评价：15.92%从业人员认为非常满意，39.37%认为满意，41.21%认为一般。数据显示超过一半的从业人员认为数字政府和智慧城市中新技术的应用效果是令人满意的。</w:t>
      </w:r>
    </w:p>
    <w:p>
      <w:pPr>
        <w:jc w:val="center"/>
      </w:pPr>
      <w:r>
        <w:drawing>
          <wp:inline distT="0" distB="0" distL="114300" distR="114300">
            <wp:extent cx="4904740" cy="3279140"/>
            <wp:effectExtent l="4445" t="4445" r="5715" b="12065"/>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73</w:t>
      </w:r>
      <w:r>
        <w:rPr>
          <w:rFonts w:hint="eastAsia" w:hAnsi="Calibri" w:cs="Times New Roman"/>
          <w:kern w:val="2"/>
          <w:sz w:val="18"/>
          <w:szCs w:val="18"/>
          <w:lang w:bidi="ar"/>
        </w:rPr>
        <w:fldChar w:fldCharType="end"/>
      </w:r>
      <w:bookmarkStart w:id="321" w:name="_Toc5325"/>
      <w:bookmarkStart w:id="322" w:name="_Toc10080"/>
      <w:r>
        <w:rPr>
          <w:rFonts w:hint="eastAsia" w:hAnsi="Calibri" w:cs="Times New Roman"/>
          <w:kern w:val="2"/>
          <w:szCs w:val="18"/>
          <w:lang w:bidi="ar"/>
        </w:rPr>
        <w:t>：数字政府和智慧城市中新技术的应用效果评价</w:t>
      </w:r>
      <w:bookmarkEnd w:id="321"/>
      <w:bookmarkEnd w:id="322"/>
    </w:p>
    <w:p>
      <w:r>
        <w:rPr>
          <w:rFonts w:hint="eastAsia" w:ascii="Calibri" w:hAnsi="Calibri" w:eastAsia="宋体" w:cs="宋体"/>
          <w:lang w:bidi="ar"/>
        </w:rPr>
        <w:t>（图表数据来源：从业人员版新技术应用与网络安全专题第</w:t>
      </w:r>
      <w:r>
        <w:rPr>
          <w:rFonts w:ascii="Calibri" w:hAnsi="Calibri" w:eastAsia="宋体"/>
          <w:lang w:bidi="ar"/>
        </w:rPr>
        <w:t>14</w:t>
      </w:r>
      <w:r>
        <w:rPr>
          <w:rFonts w:hint="eastAsia" w:ascii="Calibri" w:hAnsi="Calibri" w:eastAsia="宋体" w:cs="宋体"/>
          <w:lang w:bidi="ar"/>
        </w:rPr>
        <w:t>题：您对数字政府和智慧城市中新技术的应用效果评价？）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（15）加强新技术应用的网络安全保障的建议</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加强新技术应用的网络安全保障的建议排前3位的位：1较强自主创新加快技术研发（认同率72.90%）、2完善法律法规（认同率72.03%）、3健全行业监管加大执法与惩戒力度（68.83%）。数据显示从业人员对加快自主创新、完善法规、坚强监管等方面比较关注。</w:t>
      </w:r>
    </w:p>
    <w:p>
      <w:pPr>
        <w:jc w:val="center"/>
      </w:pPr>
      <w:r>
        <w:drawing>
          <wp:inline distT="0" distB="0" distL="114300" distR="114300">
            <wp:extent cx="5179060" cy="3776345"/>
            <wp:effectExtent l="4445" t="4445" r="17145" b="1016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74</w:t>
      </w:r>
      <w:r>
        <w:rPr>
          <w:rFonts w:hint="eastAsia" w:hAnsi="Calibri" w:cs="Times New Roman"/>
          <w:kern w:val="2"/>
          <w:sz w:val="18"/>
          <w:szCs w:val="18"/>
          <w:lang w:bidi="ar"/>
        </w:rPr>
        <w:fldChar w:fldCharType="end"/>
      </w:r>
      <w:bookmarkStart w:id="323" w:name="_Toc29495"/>
      <w:bookmarkStart w:id="324" w:name="_Toc17295"/>
      <w:r>
        <w:rPr>
          <w:rFonts w:hint="eastAsia" w:hAnsi="Calibri" w:cs="Times New Roman"/>
          <w:kern w:val="2"/>
          <w:szCs w:val="18"/>
          <w:lang w:bidi="ar"/>
        </w:rPr>
        <w:t>：加强新技术应用的网络安全保障的建议</w:t>
      </w:r>
      <w:bookmarkEnd w:id="323"/>
      <w:bookmarkEnd w:id="324"/>
    </w:p>
    <w:p>
      <w:pPr>
        <w:rPr>
          <w:rFonts w:ascii="宋体" w:hAnsi="宋体" w:eastAsia="宋体" w:cs="宋体"/>
          <w:b/>
        </w:rPr>
      </w:pPr>
      <w:r>
        <w:rPr>
          <w:rFonts w:hint="eastAsia" w:ascii="Calibri" w:hAnsi="Calibri" w:eastAsia="宋体" w:cs="宋体"/>
          <w:lang w:bidi="ar"/>
        </w:rPr>
        <w:t>（图表数据来源：从业人员版新技术应用与网络安全专题第</w:t>
      </w:r>
      <w:r>
        <w:rPr>
          <w:rFonts w:ascii="Calibri" w:hAnsi="Calibri" w:eastAsia="宋体"/>
          <w:lang w:bidi="ar"/>
        </w:rPr>
        <w:t>15</w:t>
      </w:r>
      <w:r>
        <w:rPr>
          <w:rFonts w:hint="eastAsia" w:ascii="Calibri" w:hAnsi="Calibri" w:eastAsia="宋体" w:cs="宋体"/>
          <w:lang w:bidi="ar"/>
        </w:rPr>
        <w:t>题：您对加强新技术应用的网络安全保障有哪些建议？）</w:t>
      </w:r>
      <w:r>
        <w:rPr>
          <w:rFonts w:ascii="Calibri" w:hAnsi="Calibri" w:eastAsia="宋体"/>
          <w:lang w:bidi="ar"/>
        </w:rPr>
        <w:br w:type="page"/>
      </w:r>
    </w:p>
    <w:p>
      <w:pPr>
        <w:pStyle w:val="3"/>
      </w:pPr>
      <w:bookmarkStart w:id="325" w:name="_Toc6970"/>
      <w:bookmarkStart w:id="326" w:name="_Toc31623"/>
      <w:bookmarkStart w:id="327" w:name="_Toc48725400"/>
      <w:r>
        <w:t>5.4、科技创新与人才培养专题</w:t>
      </w:r>
      <w:bookmarkEnd w:id="325"/>
      <w:bookmarkEnd w:id="326"/>
      <w:bookmarkEnd w:id="327"/>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参与本专题答题的从业人员人数为326。</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（1）网络安全科研经费预算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在网络安全科研经费预算方面：11.59%从业人员所在单位网络安全科研经费预算充裕，14.49%从业人员所在单位科研经费预算较充裕，43.48%科研经费预算一般，13.04%预算较少，17.39%没有预算。数据显示大部分（73.91%）从业人员所在单位网络安全科研经费一般或较少。</w:t>
      </w:r>
    </w:p>
    <w:p>
      <w:pPr>
        <w:jc w:val="center"/>
      </w:pPr>
      <w:r>
        <w:drawing>
          <wp:inline distT="0" distB="0" distL="114300" distR="114300">
            <wp:extent cx="4582795" cy="3350895"/>
            <wp:effectExtent l="4445" t="4445" r="22860" b="16510"/>
            <wp:docPr id="12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75</w:t>
      </w:r>
      <w:r>
        <w:rPr>
          <w:rFonts w:hint="eastAsia" w:hAnsi="Calibri" w:cs="Times New Roman"/>
          <w:kern w:val="2"/>
          <w:sz w:val="18"/>
          <w:szCs w:val="18"/>
          <w:lang w:bidi="ar"/>
        </w:rPr>
        <w:fldChar w:fldCharType="end"/>
      </w:r>
      <w:bookmarkStart w:id="328" w:name="_Toc5817"/>
      <w:bookmarkStart w:id="329" w:name="_Toc10618"/>
      <w:r>
        <w:rPr>
          <w:rFonts w:hint="eastAsia" w:hAnsi="Calibri" w:cs="Times New Roman"/>
          <w:kern w:val="2"/>
          <w:szCs w:val="21"/>
          <w:lang w:bidi="ar"/>
        </w:rPr>
        <w:t>：所在单位网络安全科研经费预算情况</w:t>
      </w:r>
      <w:bookmarkEnd w:id="328"/>
      <w:bookmarkEnd w:id="329"/>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1</w:t>
      </w:r>
      <w:r>
        <w:rPr>
          <w:rFonts w:hint="eastAsia" w:ascii="Calibri" w:hAnsi="Calibri" w:eastAsia="宋体" w:cs="宋体"/>
          <w:lang w:bidi="ar"/>
        </w:rPr>
        <w:t>题：您所在单位在网络安全方面有没有专门的科研经费预算？）</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（2）疫情对本单位网络安全方面的资金投入的影响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疫情对本单位网络安全方面的资金投入的影响方面：7.58%从业人员所在单位网络安全投入明显增加，22.73%从业人员所在单位网络安全投入有所增加，27.27%投入资金不变，28.79%投入减少，13.64%投入明显减少。数据显示从业人员所在单位网络安全投入方面受到疫情的影响在总体上呈均衡态势，总的来说影响不大。</w:t>
      </w:r>
    </w:p>
    <w:p>
      <w:pPr>
        <w:jc w:val="center"/>
      </w:pPr>
      <w:r>
        <w:drawing>
          <wp:inline distT="0" distB="0" distL="114300" distR="114300">
            <wp:extent cx="4821555" cy="3588385"/>
            <wp:effectExtent l="4445" t="5080" r="12700" b="6985"/>
            <wp:docPr id="12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76</w:t>
      </w:r>
      <w:r>
        <w:rPr>
          <w:rFonts w:hint="eastAsia" w:hAnsi="Calibri" w:cs="Times New Roman"/>
          <w:kern w:val="2"/>
          <w:sz w:val="18"/>
          <w:szCs w:val="18"/>
          <w:lang w:bidi="ar"/>
        </w:rPr>
        <w:fldChar w:fldCharType="end"/>
      </w:r>
      <w:bookmarkStart w:id="330" w:name="_Toc8111"/>
      <w:bookmarkStart w:id="331" w:name="_Toc2875"/>
      <w:r>
        <w:rPr>
          <w:rFonts w:hint="eastAsia" w:hAnsi="Calibri" w:cs="Times New Roman"/>
          <w:kern w:val="2"/>
          <w:szCs w:val="21"/>
          <w:lang w:bidi="ar"/>
        </w:rPr>
        <w:t>：疫情冲击对本单位网络安全资金投入的影响</w:t>
      </w:r>
      <w:bookmarkEnd w:id="330"/>
      <w:bookmarkEnd w:id="331"/>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2</w:t>
      </w:r>
      <w:r>
        <w:rPr>
          <w:rFonts w:hint="eastAsia" w:ascii="Calibri" w:hAnsi="Calibri" w:eastAsia="宋体" w:cs="宋体"/>
          <w:lang w:bidi="ar"/>
        </w:rPr>
        <w:t>题：全球疫情冲击带来的经济萎缩、收入减少对本单位网络安全方面的资金投入有什么影响？）</w:t>
      </w:r>
    </w:p>
    <w:p>
      <w:pPr>
        <w:rPr>
          <w:rFonts w:eastAsia="宋体"/>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（3）网络安全科研课题立项和管理的评价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从业人员对网络安全科研课题立项和管理方面的评价：10.29%表示非常满意，35.29%表示满意，45.59%表示一般，5.88%表示不满意，2.94%表示非常不满意。数据显示从业人员对科研课题立项和管理的评价中间偏好。</w:t>
      </w:r>
    </w:p>
    <w:p>
      <w:pPr>
        <w:jc w:val="center"/>
      </w:pPr>
      <w:r>
        <w:drawing>
          <wp:inline distT="0" distB="0" distL="114300" distR="114300">
            <wp:extent cx="5012690" cy="3750945"/>
            <wp:effectExtent l="4445" t="4445" r="12065" b="1651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77</w:t>
      </w:r>
      <w:r>
        <w:rPr>
          <w:rFonts w:hint="eastAsia" w:hAnsi="Calibri" w:cs="Times New Roman"/>
          <w:kern w:val="2"/>
          <w:sz w:val="18"/>
          <w:szCs w:val="18"/>
          <w:lang w:bidi="ar"/>
        </w:rPr>
        <w:fldChar w:fldCharType="end"/>
      </w:r>
      <w:bookmarkStart w:id="332" w:name="_Toc13253"/>
      <w:bookmarkStart w:id="333" w:name="_Toc29947"/>
      <w:r>
        <w:rPr>
          <w:rFonts w:hint="eastAsia" w:hAnsi="Calibri" w:cs="Times New Roman"/>
          <w:kern w:val="2"/>
          <w:szCs w:val="21"/>
          <w:lang w:bidi="ar"/>
        </w:rPr>
        <w:t>：网络安全科研课题立项和管理方面的满意度</w:t>
      </w:r>
      <w:bookmarkEnd w:id="332"/>
      <w:bookmarkEnd w:id="333"/>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3</w:t>
      </w:r>
      <w:r>
        <w:rPr>
          <w:rFonts w:hint="eastAsia" w:ascii="Calibri" w:hAnsi="Calibri" w:eastAsia="宋体" w:cs="宋体"/>
          <w:lang w:bidi="ar"/>
        </w:rPr>
        <w:t>题：您对网络安全科研课题立项和管理方面的状况是否满意？）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（4）网络安全科研工作需要改善的地方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工作需要改善的地方的看法：1项目管理（关注度52.94%）、2课题规划（关注度52.94%）、3成果管理（关注度50%）。数据显示从业人员对科研工作不满意的地方主要在项目管理、课题规划、成果管理等方面。</w:t>
      </w:r>
    </w:p>
    <w:p>
      <w:pPr>
        <w:jc w:val="center"/>
      </w:pPr>
      <w:r>
        <w:drawing>
          <wp:inline distT="0" distB="0" distL="114300" distR="114300">
            <wp:extent cx="4916805" cy="3409315"/>
            <wp:effectExtent l="5080" t="4445" r="12065" b="1524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78</w:t>
      </w:r>
      <w:r>
        <w:rPr>
          <w:rFonts w:hint="eastAsia" w:hAnsi="Calibri" w:cs="Times New Roman"/>
          <w:kern w:val="2"/>
          <w:sz w:val="18"/>
          <w:szCs w:val="18"/>
          <w:lang w:bidi="ar"/>
        </w:rPr>
        <w:fldChar w:fldCharType="end"/>
      </w:r>
      <w:bookmarkStart w:id="334" w:name="_Toc18246"/>
      <w:bookmarkStart w:id="335" w:name="_Toc14335"/>
      <w:r>
        <w:rPr>
          <w:rFonts w:hint="eastAsia" w:hAnsi="Calibri" w:cs="Times New Roman"/>
          <w:kern w:val="2"/>
          <w:szCs w:val="21"/>
          <w:lang w:bidi="ar"/>
        </w:rPr>
        <w:t>：网络安全科研工作需要改善的地方</w:t>
      </w:r>
      <w:bookmarkEnd w:id="334"/>
      <w:bookmarkEnd w:id="335"/>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4</w:t>
      </w:r>
      <w:r>
        <w:rPr>
          <w:rFonts w:hint="eastAsia" w:ascii="Calibri" w:hAnsi="Calibri" w:eastAsia="宋体" w:cs="宋体"/>
          <w:lang w:bidi="ar"/>
        </w:rPr>
        <w:t>题：您认为网络安全科研工作开展在哪些方面需要改善？）</w:t>
      </w:r>
    </w:p>
    <w:p>
      <w:pPr>
        <w:spacing w:line="240" w:lineRule="auto"/>
        <w:ind w:firstLine="562"/>
        <w:rPr>
          <w:rFonts w:ascii="黑体" w:hAnsi="宋体" w:eastAsia="黑体" w:cs="黑体"/>
          <w:b/>
          <w:kern w:val="44"/>
          <w:sz w:val="28"/>
          <w:szCs w:val="28"/>
        </w:rPr>
      </w:pPr>
      <w:bookmarkStart w:id="336" w:name="_Hlk48650523"/>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（5）网络安全方面的科研成果转化状况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从业人员对网络安全方面的科研成果转化状况看法：17.65%从业人员认为非常满意、30.88%认为满意、44.12%认为一般、5.88%认为不满意、1.47%认为非常不满意。数据显示从业人员对科研成果转化评价中间或较好。</w:t>
      </w:r>
    </w:p>
    <w:p>
      <w:pPr>
        <w:jc w:val="center"/>
      </w:pPr>
      <w:r>
        <w:drawing>
          <wp:inline distT="0" distB="0" distL="114300" distR="114300">
            <wp:extent cx="4940935" cy="3373120"/>
            <wp:effectExtent l="4445" t="4445" r="7620" b="13335"/>
            <wp:docPr id="13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79</w:t>
      </w:r>
      <w:r>
        <w:rPr>
          <w:rFonts w:hint="eastAsia" w:hAnsi="Calibri" w:cs="Times New Roman"/>
          <w:kern w:val="2"/>
          <w:sz w:val="18"/>
          <w:szCs w:val="18"/>
          <w:lang w:bidi="ar"/>
        </w:rPr>
        <w:fldChar w:fldCharType="end"/>
      </w:r>
      <w:bookmarkStart w:id="337" w:name="_Toc32698"/>
      <w:bookmarkStart w:id="338" w:name="_Toc3278"/>
      <w:r>
        <w:rPr>
          <w:rFonts w:hint="eastAsia" w:hAnsi="Calibri" w:cs="Times New Roman"/>
          <w:kern w:val="2"/>
          <w:szCs w:val="21"/>
          <w:lang w:bidi="ar"/>
        </w:rPr>
        <w:t>：网络安全方面的科研成果转化满意度评价</w:t>
      </w:r>
      <w:bookmarkEnd w:id="337"/>
      <w:bookmarkEnd w:id="338"/>
    </w:p>
    <w:p>
      <w:r>
        <w:rPr>
          <w:rFonts w:hint="eastAsia" w:ascii="Calibri" w:hAnsi="Calibri" w:eastAsia="宋体" w:cs="宋体"/>
          <w:lang w:bidi="ar"/>
        </w:rPr>
        <w:t>（图表数据来源：从业人员版科技创新与人才培养专题第</w:t>
      </w:r>
      <w:r>
        <w:rPr>
          <w:rFonts w:ascii="Calibri" w:hAnsi="Calibri" w:eastAsia="宋体"/>
          <w:lang w:bidi="ar"/>
        </w:rPr>
        <w:t>5</w:t>
      </w:r>
      <w:r>
        <w:rPr>
          <w:rFonts w:hint="eastAsia" w:ascii="Calibri" w:hAnsi="Calibri" w:eastAsia="宋体" w:cs="宋体"/>
          <w:lang w:bidi="ar"/>
        </w:rPr>
        <w:t>题：您对网络安全方面的科研成果转化状况是否满意？）</w:t>
      </w:r>
    </w:p>
    <w:bookmarkEnd w:id="336"/>
    <w:p>
      <w:pPr>
        <w:spacing w:line="240" w:lineRule="auto"/>
        <w:ind w:firstLine="562"/>
        <w:rPr>
          <w:rFonts w:ascii="黑体" w:hAnsi="宋体" w:eastAsia="黑体" w:cs="黑体"/>
          <w:b/>
          <w:kern w:val="44"/>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（5.1）网络安全方面的科研成果转化的问题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存在问题的看法：1保障服务（关注度60%）、2管理机制（关注度60%）、3其他（关注度40%）、4成果保护（关注度40%）、5政策支持（40%）。数据显示从业人员认为政策支持、管理机制、成果保护等方面需要改善。</w:t>
      </w:r>
    </w:p>
    <w:p>
      <w:pPr>
        <w:jc w:val="center"/>
      </w:pPr>
      <w:r>
        <w:drawing>
          <wp:inline distT="0" distB="0" distL="114300" distR="114300">
            <wp:extent cx="4809490" cy="3801745"/>
            <wp:effectExtent l="4445" t="4445" r="5715" b="22860"/>
            <wp:docPr id="13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80</w:t>
      </w:r>
      <w:r>
        <w:rPr>
          <w:rFonts w:hint="eastAsia" w:hAnsi="Calibri" w:cs="Times New Roman"/>
          <w:kern w:val="2"/>
          <w:sz w:val="18"/>
          <w:szCs w:val="18"/>
          <w:lang w:bidi="ar"/>
        </w:rPr>
        <w:fldChar w:fldCharType="end"/>
      </w:r>
      <w:bookmarkStart w:id="339" w:name="_Toc28099"/>
      <w:bookmarkStart w:id="340" w:name="_Toc16086"/>
      <w:r>
        <w:rPr>
          <w:rFonts w:hint="eastAsia" w:hAnsi="Calibri" w:cs="Times New Roman"/>
          <w:kern w:val="2"/>
          <w:szCs w:val="21"/>
          <w:lang w:bidi="ar"/>
        </w:rPr>
        <w:t>：网络安全科研成果转化感到不满意的地方</w:t>
      </w:r>
      <w:bookmarkEnd w:id="339"/>
      <w:bookmarkEnd w:id="340"/>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5.1</w:t>
      </w:r>
      <w:r>
        <w:rPr>
          <w:rFonts w:hint="eastAsia" w:ascii="Calibri" w:hAnsi="Calibri" w:eastAsia="宋体" w:cs="宋体"/>
          <w:lang w:bidi="ar"/>
        </w:rPr>
        <w:t>题：您对以下哪些方面感到不满意？）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（6）网络安全课程开设情况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有关网络安全课程开设情况为：不了解情况最多（占比26.47%）、作为专业课程只在作为通识课程开设属于选修课程次之（占比22.06%）、第三为没有开设（占比19.12%）、作为通识课程，属于必修课程（有19.12%）。数据显示网络课程开设的比例一般，覆盖面不够广。</w:t>
      </w:r>
    </w:p>
    <w:p>
      <w:pPr>
        <w:jc w:val="center"/>
      </w:pPr>
      <w:r>
        <w:drawing>
          <wp:inline distT="0" distB="0" distL="114300" distR="114300">
            <wp:extent cx="4881245" cy="3933825"/>
            <wp:effectExtent l="4445" t="4445" r="10160" b="5080"/>
            <wp:docPr id="13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81</w:t>
      </w:r>
      <w:r>
        <w:rPr>
          <w:rFonts w:hint="eastAsia" w:hAnsi="Calibri" w:cs="Times New Roman"/>
          <w:kern w:val="2"/>
          <w:sz w:val="18"/>
          <w:szCs w:val="18"/>
          <w:lang w:bidi="ar"/>
        </w:rPr>
        <w:fldChar w:fldCharType="end"/>
      </w:r>
      <w:bookmarkStart w:id="341" w:name="_Toc9889"/>
      <w:bookmarkStart w:id="342" w:name="_Toc11790"/>
      <w:r>
        <w:rPr>
          <w:rFonts w:hint="eastAsia" w:hAnsi="Calibri" w:cs="Times New Roman"/>
          <w:kern w:val="2"/>
          <w:szCs w:val="21"/>
          <w:lang w:bidi="ar"/>
        </w:rPr>
        <w:t>：所在单位有关网络安全的课程开设情况</w:t>
      </w:r>
      <w:bookmarkEnd w:id="341"/>
      <w:bookmarkEnd w:id="342"/>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6</w:t>
      </w:r>
      <w:r>
        <w:rPr>
          <w:rFonts w:hint="eastAsia" w:ascii="Calibri" w:hAnsi="Calibri" w:eastAsia="宋体" w:cs="宋体"/>
          <w:lang w:bidi="ar"/>
        </w:rPr>
        <w:t>题：您所在单位开设了关于网络安全的课程吗？）</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（7）网络安全专业人才评价和队伍建设</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有</w:t>
      </w:r>
      <w:bookmarkStart w:id="343" w:name="_Hlk48723912"/>
      <w:r>
        <w:rPr>
          <w:rFonts w:hint="eastAsia" w:asciiTheme="minorEastAsia" w:hAnsiTheme="minorEastAsia" w:cstheme="minorEastAsia"/>
          <w:sz w:val="28"/>
          <w:szCs w:val="28"/>
          <w:lang w:bidi="ar"/>
        </w:rPr>
        <w:t>关网络安全专业人才评价和队伍建设方面的问题，关注度排在前5名的是：1职称不完善、晋升渠道不畅（47.06%）、2实训环境不足（44.12%）、3任职资格管理不完善（36.76）、4继续教育流于形式（35.29%）、5专业不对口（33.82%）。</w:t>
      </w:r>
      <w:bookmarkEnd w:id="343"/>
      <w:r>
        <w:rPr>
          <w:rFonts w:hint="eastAsia" w:asciiTheme="minorEastAsia" w:hAnsiTheme="minorEastAsia" w:cstheme="minorEastAsia"/>
          <w:sz w:val="28"/>
          <w:szCs w:val="28"/>
          <w:lang w:bidi="ar"/>
        </w:rPr>
        <w:t>数据显示从业人员对网络安全专业人才职业发展和培养存在的问题比较关注。</w:t>
      </w:r>
    </w:p>
    <w:p>
      <w:pPr>
        <w:ind w:firstLine="560"/>
        <w:rPr>
          <w:rFonts w:asciiTheme="minorEastAsia" w:hAnsiTheme="minorEastAsia" w:cstheme="minorEastAsia"/>
          <w:sz w:val="28"/>
          <w:szCs w:val="28"/>
          <w:lang w:bidi="ar"/>
        </w:rPr>
      </w:pPr>
    </w:p>
    <w:p/>
    <w:p>
      <w:pPr>
        <w:pStyle w:val="14"/>
        <w:widowControl w:val="0"/>
        <w:adjustRightInd w:val="0"/>
        <w:snapToGrid w:val="0"/>
        <w:spacing w:before="0" w:beforeAutospacing="0" w:after="0" w:afterAutospacing="0" w:line="360" w:lineRule="auto"/>
        <w:ind w:firstLine="480" w:firstLineChars="200"/>
        <w:jc w:val="both"/>
        <w:rPr>
          <w:rFonts w:hAnsi="Calibri" w:cs="Times New Roman"/>
          <w:kern w:val="2"/>
          <w:szCs w:val="21"/>
          <w:lang w:bidi="ar"/>
        </w:rPr>
      </w:pPr>
    </w:p>
    <w:p>
      <w:pPr>
        <w:pStyle w:val="14"/>
        <w:widowControl w:val="0"/>
        <w:adjustRightInd w:val="0"/>
        <w:snapToGrid w:val="0"/>
        <w:spacing w:before="0" w:beforeAutospacing="0" w:after="0" w:afterAutospacing="0" w:line="360" w:lineRule="auto"/>
        <w:ind w:firstLine="480" w:firstLineChars="200"/>
        <w:jc w:val="center"/>
        <w:rPr>
          <w:rFonts w:hAnsi="Calibri" w:cs="Times New Roman"/>
          <w:kern w:val="2"/>
          <w:szCs w:val="21"/>
          <w:lang w:bidi="ar"/>
        </w:rPr>
      </w:pPr>
      <w:r>
        <w:drawing>
          <wp:inline distT="0" distB="0" distL="114300" distR="114300">
            <wp:extent cx="4906010" cy="3933825"/>
            <wp:effectExtent l="4445" t="4445" r="23495" b="5080"/>
            <wp:docPr id="13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Ansi="Calibri" w:cs="Times New Roman"/>
          <w:kern w:val="2"/>
          <w:szCs w:val="18"/>
          <w:lang w:bidi="ar"/>
        </w:rPr>
        <w:t>82</w:t>
      </w:r>
      <w:r>
        <w:rPr>
          <w:rFonts w:hint="eastAsia" w:hAnsi="Calibri" w:cs="Times New Roman"/>
          <w:kern w:val="2"/>
          <w:sz w:val="18"/>
          <w:szCs w:val="18"/>
          <w:lang w:bidi="ar"/>
        </w:rPr>
        <w:fldChar w:fldCharType="end"/>
      </w:r>
      <w:bookmarkStart w:id="344" w:name="_Toc29588"/>
      <w:bookmarkStart w:id="345" w:name="_Toc28153"/>
      <w:r>
        <w:rPr>
          <w:rFonts w:hint="eastAsia" w:hAnsi="Calibri" w:cs="Times New Roman"/>
          <w:kern w:val="2"/>
          <w:szCs w:val="21"/>
          <w:lang w:bidi="ar"/>
        </w:rPr>
        <w:t>：网络安全专业人才评价和队伍建设存在的问题</w:t>
      </w:r>
      <w:bookmarkEnd w:id="344"/>
      <w:bookmarkEnd w:id="345"/>
    </w:p>
    <w:p>
      <w:pPr>
        <w:jc w:val="left"/>
      </w:pPr>
      <w:r>
        <w:rPr>
          <w:rFonts w:hint="eastAsia" w:ascii="Calibri" w:hAnsi="Calibri" w:eastAsia="宋体" w:cs="宋体"/>
          <w:lang w:bidi="ar"/>
        </w:rPr>
        <w:t>（图表数据来源：从业人员版科技创新与人才培养专题第</w:t>
      </w:r>
      <w:r>
        <w:rPr>
          <w:rFonts w:ascii="Calibri" w:hAnsi="Calibri" w:eastAsia="宋体"/>
          <w:lang w:bidi="ar"/>
        </w:rPr>
        <w:t>7</w:t>
      </w:r>
      <w:r>
        <w:rPr>
          <w:rFonts w:hint="eastAsia" w:ascii="Calibri" w:hAnsi="Calibri" w:eastAsia="宋体" w:cs="宋体"/>
          <w:lang w:bidi="ar"/>
        </w:rPr>
        <w:t>题：您认为网络安全专业人才评价和队伍建设方面存在哪些问题？）</w:t>
      </w:r>
    </w:p>
    <w:p>
      <w:pPr>
        <w:jc w:val="center"/>
      </w:pPr>
    </w:p>
    <w:p>
      <w:pPr>
        <w:widowControl/>
        <w:adjustRightInd/>
        <w:snapToGrid/>
        <w:spacing w:line="240" w:lineRule="auto"/>
        <w:ind w:firstLine="0" w:firstLineChars="0"/>
        <w:jc w:val="left"/>
      </w:pPr>
      <w:r>
        <w:br w:type="page"/>
      </w:r>
    </w:p>
    <w:p>
      <w:pPr>
        <w:widowControl/>
        <w:adjustRightInd/>
        <w:snapToGrid/>
        <w:spacing w:line="240" w:lineRule="auto"/>
        <w:ind w:firstLine="0" w:firstLineChars="0"/>
        <w:jc w:val="left"/>
      </w:pPr>
    </w:p>
    <w:p>
      <w:pPr>
        <w:pStyle w:val="2"/>
      </w:pPr>
      <w:bookmarkStart w:id="346" w:name="_Toc19207434"/>
      <w:bookmarkStart w:id="347" w:name="_Toc50885001"/>
      <w:bookmarkStart w:id="348" w:name="_Toc11267"/>
      <w:bookmarkStart w:id="349" w:name="_Toc50902727"/>
      <w:bookmarkStart w:id="350" w:name="_Toc19313589"/>
      <w:bookmarkStart w:id="351" w:name="_Toc24836916"/>
      <w:bookmarkStart w:id="352" w:name="_Toc24490106"/>
      <w:bookmarkStart w:id="353" w:name="_Toc24837917"/>
      <w:r>
        <w:rPr>
          <w:rFonts w:hint="eastAsia"/>
        </w:rPr>
        <w:t>附件一：调查方法</w:t>
      </w:r>
      <w:bookmarkEnd w:id="346"/>
      <w:r>
        <w:rPr>
          <w:rFonts w:hint="eastAsia"/>
        </w:rPr>
        <w:t>与数据样本情况</w:t>
      </w:r>
      <w:bookmarkEnd w:id="347"/>
      <w:bookmarkEnd w:id="348"/>
      <w:bookmarkEnd w:id="349"/>
      <w:bookmarkEnd w:id="350"/>
    </w:p>
    <w:p>
      <w:bookmarkStart w:id="354" w:name="_Toc19207435"/>
      <w:bookmarkStart w:id="355" w:name="_Toc19203354"/>
      <w:r>
        <w:rPr>
          <w:rFonts w:hint="eastAsia"/>
        </w:rPr>
        <w:t>一、背景</w:t>
      </w:r>
      <w:bookmarkEnd w:id="354"/>
      <w:bookmarkEnd w:id="355"/>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56" w:name="_Toc19207436"/>
      <w:bookmarkStart w:id="357" w:name="_Toc19203355"/>
      <w:r>
        <w:rPr>
          <w:rFonts w:hint="eastAsia"/>
        </w:rPr>
        <w:t>二、目的</w:t>
      </w:r>
      <w:bookmarkEnd w:id="356"/>
      <w:bookmarkEnd w:id="357"/>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58" w:name="_Toc19207437"/>
      <w:bookmarkStart w:id="359" w:name="_Toc19203356"/>
      <w:r>
        <w:rPr>
          <w:rFonts w:hint="eastAsia"/>
        </w:rPr>
        <w:t>三、调查方式</w:t>
      </w:r>
      <w:bookmarkEnd w:id="358"/>
      <w:bookmarkEnd w:id="359"/>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60" w:name="_Toc19203357"/>
      <w:bookmarkStart w:id="361" w:name="_Toc19207438"/>
      <w:r>
        <w:rPr>
          <w:rFonts w:hint="eastAsia"/>
        </w:rPr>
        <w:t>四、调查数据的有效性</w:t>
      </w:r>
      <w:bookmarkEnd w:id="360"/>
      <w:bookmarkEnd w:id="361"/>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62" w:name="_Toc50885002"/>
      <w:bookmarkStart w:id="363" w:name="_Toc50902728"/>
      <w:bookmarkStart w:id="364" w:name="_Toc17641"/>
      <w:r>
        <w:rPr>
          <w:rFonts w:hint="eastAsia" w:eastAsia="宋体" w:asciiTheme="minorHAnsi" w:hAnsiTheme="minorHAnsi" w:cstheme="minorHAnsi"/>
          <w:sz w:val="32"/>
          <w:szCs w:val="32"/>
        </w:rPr>
        <w:t>附件二：调查报告致谢词</w:t>
      </w:r>
      <w:bookmarkEnd w:id="362"/>
      <w:bookmarkEnd w:id="363"/>
      <w:bookmarkEnd w:id="364"/>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65" w:name="_Toc50902729"/>
      <w:bookmarkStart w:id="366" w:name="_Toc30371"/>
      <w:r>
        <w:rPr>
          <w:rFonts w:hint="eastAsia" w:ascii="宋体" w:hAnsi="宋体" w:eastAsia="宋体"/>
          <w:sz w:val="32"/>
          <w:szCs w:val="32"/>
        </w:rPr>
        <w:t>附件三：调查活动指导单位、联合发起单位和组委会名单</w:t>
      </w:r>
      <w:bookmarkEnd w:id="351"/>
      <w:bookmarkEnd w:id="352"/>
      <w:bookmarkEnd w:id="353"/>
      <w:bookmarkEnd w:id="365"/>
      <w:bookmarkEnd w:id="366"/>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67" w:name="_Toc4517"/>
      <w:bookmarkStart w:id="368" w:name="_Toc50902730"/>
      <w:r>
        <w:rPr>
          <w:rFonts w:hint="eastAsia" w:ascii="宋体" w:hAnsi="宋体" w:eastAsia="宋体"/>
          <w:sz w:val="32"/>
          <w:szCs w:val="32"/>
        </w:rPr>
        <w:t>附件四：调查活动发起单位及支持单位名单（排名不分先后）</w:t>
      </w:r>
      <w:bookmarkEnd w:id="367"/>
      <w:bookmarkEnd w:id="368"/>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headerReference r:id="rId10" w:type="default"/>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14" w:type="first"/>
      <w:headerReference r:id="rId12" w:type="default"/>
      <w:footerReference r:id="rId15" w:type="default"/>
      <w:headerReference r:id="rId13"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pPr>
      <w:spacing w:line="240" w:lineRule="auto"/>
      <w:ind w:firstLine="420"/>
      <w:rPr>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r>
      <w:rPr>
        <w:rFonts w:hint="eastAsia" w:ascii="黑体" w:hAnsi="黑体" w:eastAsia="黑体"/>
        <w:bCs/>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0808"/>
    <w:rsid w:val="00064558"/>
    <w:rsid w:val="0006487B"/>
    <w:rsid w:val="00064E4F"/>
    <w:rsid w:val="000734D8"/>
    <w:rsid w:val="00077834"/>
    <w:rsid w:val="0008740C"/>
    <w:rsid w:val="0008786F"/>
    <w:rsid w:val="00087DCA"/>
    <w:rsid w:val="00091821"/>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6B5B"/>
    <w:rsid w:val="001D1961"/>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36096"/>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9D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742CF"/>
    <w:rsid w:val="00381CC0"/>
    <w:rsid w:val="00382ED4"/>
    <w:rsid w:val="00386F2B"/>
    <w:rsid w:val="00391C7A"/>
    <w:rsid w:val="00391F0F"/>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A4B"/>
    <w:rsid w:val="00447F69"/>
    <w:rsid w:val="0045725C"/>
    <w:rsid w:val="00461D4D"/>
    <w:rsid w:val="00463204"/>
    <w:rsid w:val="004648A3"/>
    <w:rsid w:val="00465478"/>
    <w:rsid w:val="004702F4"/>
    <w:rsid w:val="00472E47"/>
    <w:rsid w:val="00485821"/>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7080"/>
    <w:rsid w:val="005815C9"/>
    <w:rsid w:val="005904C1"/>
    <w:rsid w:val="005968DA"/>
    <w:rsid w:val="00597B7F"/>
    <w:rsid w:val="005A394A"/>
    <w:rsid w:val="005A60C7"/>
    <w:rsid w:val="005A6FF4"/>
    <w:rsid w:val="005C2189"/>
    <w:rsid w:val="005C232D"/>
    <w:rsid w:val="005C36BC"/>
    <w:rsid w:val="005D1FF1"/>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36F"/>
    <w:rsid w:val="00642A77"/>
    <w:rsid w:val="0064372A"/>
    <w:rsid w:val="00646DF3"/>
    <w:rsid w:val="006477F7"/>
    <w:rsid w:val="00650629"/>
    <w:rsid w:val="00653202"/>
    <w:rsid w:val="00656E80"/>
    <w:rsid w:val="0065701D"/>
    <w:rsid w:val="0065769E"/>
    <w:rsid w:val="00662F62"/>
    <w:rsid w:val="006659FF"/>
    <w:rsid w:val="00666D13"/>
    <w:rsid w:val="00674287"/>
    <w:rsid w:val="00675E0E"/>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908"/>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3348"/>
    <w:rsid w:val="008641D1"/>
    <w:rsid w:val="00864927"/>
    <w:rsid w:val="00864A65"/>
    <w:rsid w:val="00864AA4"/>
    <w:rsid w:val="00864DD8"/>
    <w:rsid w:val="00867BD3"/>
    <w:rsid w:val="00875BB2"/>
    <w:rsid w:val="008764C0"/>
    <w:rsid w:val="00877E2F"/>
    <w:rsid w:val="008863D8"/>
    <w:rsid w:val="00887594"/>
    <w:rsid w:val="00887E75"/>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B2F31"/>
    <w:rsid w:val="009C00AF"/>
    <w:rsid w:val="009C2403"/>
    <w:rsid w:val="009C29EB"/>
    <w:rsid w:val="009C31A9"/>
    <w:rsid w:val="009C5F9D"/>
    <w:rsid w:val="009D0987"/>
    <w:rsid w:val="009D1DE8"/>
    <w:rsid w:val="009D2EF9"/>
    <w:rsid w:val="009D43CB"/>
    <w:rsid w:val="009D4704"/>
    <w:rsid w:val="009D6128"/>
    <w:rsid w:val="009E116E"/>
    <w:rsid w:val="009E1EA9"/>
    <w:rsid w:val="009E6F32"/>
    <w:rsid w:val="009F0566"/>
    <w:rsid w:val="009F0F35"/>
    <w:rsid w:val="009F50D4"/>
    <w:rsid w:val="009F55CF"/>
    <w:rsid w:val="00A00718"/>
    <w:rsid w:val="00A060E7"/>
    <w:rsid w:val="00A06FE9"/>
    <w:rsid w:val="00A1601E"/>
    <w:rsid w:val="00A16F0A"/>
    <w:rsid w:val="00A2009C"/>
    <w:rsid w:val="00A247C1"/>
    <w:rsid w:val="00A2562C"/>
    <w:rsid w:val="00A25D36"/>
    <w:rsid w:val="00A351AE"/>
    <w:rsid w:val="00A35DF8"/>
    <w:rsid w:val="00A374F4"/>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09D6"/>
    <w:rsid w:val="00B619D8"/>
    <w:rsid w:val="00B63149"/>
    <w:rsid w:val="00B63F71"/>
    <w:rsid w:val="00B657F7"/>
    <w:rsid w:val="00B6659E"/>
    <w:rsid w:val="00B71806"/>
    <w:rsid w:val="00B75BAC"/>
    <w:rsid w:val="00B8244D"/>
    <w:rsid w:val="00B861AC"/>
    <w:rsid w:val="00B907B4"/>
    <w:rsid w:val="00B913B0"/>
    <w:rsid w:val="00B9177E"/>
    <w:rsid w:val="00B9461E"/>
    <w:rsid w:val="00BA3BFD"/>
    <w:rsid w:val="00BA6592"/>
    <w:rsid w:val="00BA7252"/>
    <w:rsid w:val="00BB2D77"/>
    <w:rsid w:val="00BB2FF7"/>
    <w:rsid w:val="00BB3F08"/>
    <w:rsid w:val="00BC02EA"/>
    <w:rsid w:val="00BC52CB"/>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D6437"/>
    <w:rsid w:val="00CE4B0D"/>
    <w:rsid w:val="00CE5264"/>
    <w:rsid w:val="00CE71C1"/>
    <w:rsid w:val="00CF0E24"/>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49E4"/>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04D"/>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430B"/>
    <w:rsid w:val="00F40344"/>
    <w:rsid w:val="00F46760"/>
    <w:rsid w:val="00F54580"/>
    <w:rsid w:val="00F56B37"/>
    <w:rsid w:val="00F61541"/>
    <w:rsid w:val="00F658AF"/>
    <w:rsid w:val="00F674F3"/>
    <w:rsid w:val="00F70D55"/>
    <w:rsid w:val="00F74110"/>
    <w:rsid w:val="00F83924"/>
    <w:rsid w:val="00F92EE1"/>
    <w:rsid w:val="00FA7A5E"/>
    <w:rsid w:val="00FB111E"/>
    <w:rsid w:val="00FB2A49"/>
    <w:rsid w:val="00FB75CB"/>
    <w:rsid w:val="00FC3302"/>
    <w:rsid w:val="00FC5AF9"/>
    <w:rsid w:val="00FD0B85"/>
    <w:rsid w:val="00FD12F8"/>
    <w:rsid w:val="00FD2B07"/>
    <w:rsid w:val="00FD4D40"/>
    <w:rsid w:val="00FD561A"/>
    <w:rsid w:val="00FD7191"/>
    <w:rsid w:val="00FE61FB"/>
    <w:rsid w:val="00FE6BCF"/>
    <w:rsid w:val="00FE7A29"/>
    <w:rsid w:val="00FF0422"/>
    <w:rsid w:val="00FF31CE"/>
    <w:rsid w:val="00FF4BDA"/>
    <w:rsid w:val="00FF7689"/>
    <w:rsid w:val="010D04E1"/>
    <w:rsid w:val="166E6718"/>
    <w:rsid w:val="19EF72D8"/>
    <w:rsid w:val="1D245443"/>
    <w:rsid w:val="34600A14"/>
    <w:rsid w:val="35752598"/>
    <w:rsid w:val="3ACF3CBD"/>
    <w:rsid w:val="4392757A"/>
    <w:rsid w:val="43DB1815"/>
    <w:rsid w:val="5B187956"/>
    <w:rsid w:val="679B4416"/>
    <w:rsid w:val="6B331CD3"/>
    <w:rsid w:val="6BC20C3E"/>
    <w:rsid w:val="7475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82.xml"/><Relationship Id="rId98" Type="http://schemas.openxmlformats.org/officeDocument/2006/relationships/chart" Target="charts/chart81.xml"/><Relationship Id="rId97" Type="http://schemas.openxmlformats.org/officeDocument/2006/relationships/chart" Target="charts/chart80.xml"/><Relationship Id="rId96" Type="http://schemas.openxmlformats.org/officeDocument/2006/relationships/chart" Target="charts/chart79.xml"/><Relationship Id="rId95" Type="http://schemas.openxmlformats.org/officeDocument/2006/relationships/chart" Target="charts/chart78.xml"/><Relationship Id="rId94" Type="http://schemas.openxmlformats.org/officeDocument/2006/relationships/chart" Target="charts/chart77.xml"/><Relationship Id="rId93" Type="http://schemas.openxmlformats.org/officeDocument/2006/relationships/chart" Target="charts/chart76.xml"/><Relationship Id="rId92" Type="http://schemas.openxmlformats.org/officeDocument/2006/relationships/chart" Target="charts/chart75.xml"/><Relationship Id="rId91" Type="http://schemas.openxmlformats.org/officeDocument/2006/relationships/chart" Target="charts/chart74.xml"/><Relationship Id="rId90" Type="http://schemas.openxmlformats.org/officeDocument/2006/relationships/chart" Target="charts/chart73.xml"/><Relationship Id="rId9" Type="http://schemas.openxmlformats.org/officeDocument/2006/relationships/footer" Target="footer4.xml"/><Relationship Id="rId89" Type="http://schemas.openxmlformats.org/officeDocument/2006/relationships/chart" Target="charts/chart72.xml"/><Relationship Id="rId88" Type="http://schemas.openxmlformats.org/officeDocument/2006/relationships/chart" Target="charts/chart71.xml"/><Relationship Id="rId87" Type="http://schemas.openxmlformats.org/officeDocument/2006/relationships/chart" Target="charts/chart70.xml"/><Relationship Id="rId86" Type="http://schemas.openxmlformats.org/officeDocument/2006/relationships/chart" Target="charts/chart69.xml"/><Relationship Id="rId85" Type="http://schemas.openxmlformats.org/officeDocument/2006/relationships/chart" Target="charts/chart68.xml"/><Relationship Id="rId84" Type="http://schemas.openxmlformats.org/officeDocument/2006/relationships/chart" Target="charts/chart67.xml"/><Relationship Id="rId83" Type="http://schemas.openxmlformats.org/officeDocument/2006/relationships/chart" Target="charts/chart66.xml"/><Relationship Id="rId82" Type="http://schemas.openxmlformats.org/officeDocument/2006/relationships/chart" Target="charts/chart65.xml"/><Relationship Id="rId81" Type="http://schemas.openxmlformats.org/officeDocument/2006/relationships/chart" Target="charts/chart64.xml"/><Relationship Id="rId80" Type="http://schemas.openxmlformats.org/officeDocument/2006/relationships/chart" Target="charts/chart63.xml"/><Relationship Id="rId8" Type="http://schemas.openxmlformats.org/officeDocument/2006/relationships/footer" Target="footer3.xml"/><Relationship Id="rId79" Type="http://schemas.openxmlformats.org/officeDocument/2006/relationships/chart" Target="charts/chart62.xml"/><Relationship Id="rId78" Type="http://schemas.openxmlformats.org/officeDocument/2006/relationships/chart" Target="charts/chart61.xml"/><Relationship Id="rId77" Type="http://schemas.openxmlformats.org/officeDocument/2006/relationships/chart" Target="charts/chart60.xml"/><Relationship Id="rId76" Type="http://schemas.openxmlformats.org/officeDocument/2006/relationships/chart" Target="charts/chart59.xml"/><Relationship Id="rId75" Type="http://schemas.openxmlformats.org/officeDocument/2006/relationships/chart" Target="charts/chart58.xml"/><Relationship Id="rId74" Type="http://schemas.openxmlformats.org/officeDocument/2006/relationships/chart" Target="charts/chart57.xml"/><Relationship Id="rId73" Type="http://schemas.openxmlformats.org/officeDocument/2006/relationships/chart" Target="charts/chart56.xml"/><Relationship Id="rId72" Type="http://schemas.openxmlformats.org/officeDocument/2006/relationships/chart" Target="charts/chart55.xml"/><Relationship Id="rId71" Type="http://schemas.openxmlformats.org/officeDocument/2006/relationships/chart" Target="charts/chart54.xml"/><Relationship Id="rId70" Type="http://schemas.openxmlformats.org/officeDocument/2006/relationships/chart" Target="charts/chart53.xml"/><Relationship Id="rId7" Type="http://schemas.openxmlformats.org/officeDocument/2006/relationships/footer" Target="footer2.xml"/><Relationship Id="rId69" Type="http://schemas.openxmlformats.org/officeDocument/2006/relationships/chart" Target="charts/chart52.xml"/><Relationship Id="rId68" Type="http://schemas.openxmlformats.org/officeDocument/2006/relationships/chart" Target="charts/chart51.xml"/><Relationship Id="rId67" Type="http://schemas.openxmlformats.org/officeDocument/2006/relationships/chart" Target="charts/chart50.xml"/><Relationship Id="rId66" Type="http://schemas.openxmlformats.org/officeDocument/2006/relationships/chart" Target="charts/chart49.xml"/><Relationship Id="rId65" Type="http://schemas.openxmlformats.org/officeDocument/2006/relationships/chart" Target="charts/chart48.xml"/><Relationship Id="rId64" Type="http://schemas.openxmlformats.org/officeDocument/2006/relationships/chart" Target="charts/chart47.xml"/><Relationship Id="rId63" Type="http://schemas.openxmlformats.org/officeDocument/2006/relationships/chart" Target="charts/chart46.xml"/><Relationship Id="rId62" Type="http://schemas.openxmlformats.org/officeDocument/2006/relationships/chart" Target="charts/chart45.xml"/><Relationship Id="rId61" Type="http://schemas.openxmlformats.org/officeDocument/2006/relationships/chart" Target="charts/chart44.xml"/><Relationship Id="rId60" Type="http://schemas.openxmlformats.org/officeDocument/2006/relationships/chart" Target="charts/chart43.xml"/><Relationship Id="rId6" Type="http://schemas.openxmlformats.org/officeDocument/2006/relationships/footer" Target="footer1.xml"/><Relationship Id="rId59" Type="http://schemas.openxmlformats.org/officeDocument/2006/relationships/chart" Target="charts/chart42.xml"/><Relationship Id="rId58" Type="http://schemas.openxmlformats.org/officeDocument/2006/relationships/chart" Target="charts/chart41.xml"/><Relationship Id="rId57" Type="http://schemas.openxmlformats.org/officeDocument/2006/relationships/chart" Target="charts/chart40.xml"/><Relationship Id="rId56" Type="http://schemas.openxmlformats.org/officeDocument/2006/relationships/chart" Target="charts/chart39.xml"/><Relationship Id="rId55" Type="http://schemas.openxmlformats.org/officeDocument/2006/relationships/chart" Target="charts/chart38.xml"/><Relationship Id="rId54" Type="http://schemas.openxmlformats.org/officeDocument/2006/relationships/chart" Target="charts/chart37.xml"/><Relationship Id="rId53" Type="http://schemas.openxmlformats.org/officeDocument/2006/relationships/chart" Target="charts/chart36.xml"/><Relationship Id="rId52" Type="http://schemas.openxmlformats.org/officeDocument/2006/relationships/chart" Target="charts/chart35.xml"/><Relationship Id="rId51" Type="http://schemas.openxmlformats.org/officeDocument/2006/relationships/chart" Target="charts/chart34.xml"/><Relationship Id="rId50" Type="http://schemas.openxmlformats.org/officeDocument/2006/relationships/chart" Target="charts/chart33.xml"/><Relationship Id="rId5" Type="http://schemas.openxmlformats.org/officeDocument/2006/relationships/header" Target="header3.xml"/><Relationship Id="rId49" Type="http://schemas.openxmlformats.org/officeDocument/2006/relationships/chart" Target="charts/chart32.xml"/><Relationship Id="rId48" Type="http://schemas.openxmlformats.org/officeDocument/2006/relationships/chart" Target="charts/chart31.xml"/><Relationship Id="rId47" Type="http://schemas.openxmlformats.org/officeDocument/2006/relationships/chart" Target="charts/chart30.xml"/><Relationship Id="rId46" Type="http://schemas.openxmlformats.org/officeDocument/2006/relationships/chart" Target="charts/chart29.xml"/><Relationship Id="rId45" Type="http://schemas.openxmlformats.org/officeDocument/2006/relationships/chart" Target="charts/chart28.xml"/><Relationship Id="rId44" Type="http://schemas.openxmlformats.org/officeDocument/2006/relationships/chart" Target="charts/chart27.xml"/><Relationship Id="rId43" Type="http://schemas.openxmlformats.org/officeDocument/2006/relationships/chart" Target="charts/chart26.xml"/><Relationship Id="rId42" Type="http://schemas.openxmlformats.org/officeDocument/2006/relationships/chart" Target="charts/chart25.xml"/><Relationship Id="rId41" Type="http://schemas.openxmlformats.org/officeDocument/2006/relationships/chart" Target="charts/chart24.xml"/><Relationship Id="rId40" Type="http://schemas.openxmlformats.org/officeDocument/2006/relationships/chart" Target="charts/chart23.xml"/><Relationship Id="rId4" Type="http://schemas.openxmlformats.org/officeDocument/2006/relationships/header" Target="header2.xml"/><Relationship Id="rId39" Type="http://schemas.openxmlformats.org/officeDocument/2006/relationships/chart" Target="charts/chart22.xml"/><Relationship Id="rId38" Type="http://schemas.openxmlformats.org/officeDocument/2006/relationships/chart" Target="charts/chart21.xml"/><Relationship Id="rId37" Type="http://schemas.openxmlformats.org/officeDocument/2006/relationships/chart" Target="charts/chart20.xml"/><Relationship Id="rId36" Type="http://schemas.openxmlformats.org/officeDocument/2006/relationships/chart" Target="charts/chart19.xml"/><Relationship Id="rId35" Type="http://schemas.openxmlformats.org/officeDocument/2006/relationships/chart" Target="charts/chart18.xml"/><Relationship Id="rId34" Type="http://schemas.openxmlformats.org/officeDocument/2006/relationships/chart" Target="charts/chart17.xml"/><Relationship Id="rId33" Type="http://schemas.openxmlformats.org/officeDocument/2006/relationships/chart" Target="charts/chart16.xml"/><Relationship Id="rId32" Type="http://schemas.openxmlformats.org/officeDocument/2006/relationships/chart" Target="charts/chart15.xml"/><Relationship Id="rId31" Type="http://schemas.openxmlformats.org/officeDocument/2006/relationships/chart" Target="charts/chart14.xml"/><Relationship Id="rId30" Type="http://schemas.openxmlformats.org/officeDocument/2006/relationships/chart" Target="charts/chart13.xml"/><Relationship Id="rId3" Type="http://schemas.openxmlformats.org/officeDocument/2006/relationships/header" Target="header1.xml"/><Relationship Id="rId29" Type="http://schemas.openxmlformats.org/officeDocument/2006/relationships/chart" Target="charts/chart12.xml"/><Relationship Id="rId28" Type="http://schemas.openxmlformats.org/officeDocument/2006/relationships/chart" Target="charts/chart11.xml"/><Relationship Id="rId27" Type="http://schemas.openxmlformats.org/officeDocument/2006/relationships/chart" Target="charts/chart10.xml"/><Relationship Id="rId26" Type="http://schemas.openxmlformats.org/officeDocument/2006/relationships/chart" Target="charts/chart9.xml"/><Relationship Id="rId25" Type="http://schemas.openxmlformats.org/officeDocument/2006/relationships/chart" Target="charts/chart8.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4" Type="http://schemas.openxmlformats.org/officeDocument/2006/relationships/fontTable" Target="fontTable.xml"/><Relationship Id="rId103" Type="http://schemas.openxmlformats.org/officeDocument/2006/relationships/customXml" Target="../customXml/item3.xml"/><Relationship Id="rId102" Type="http://schemas.openxmlformats.org/officeDocument/2006/relationships/customXml" Target="../customXml/item2.xml"/><Relationship Id="rId101" Type="http://schemas.openxmlformats.org/officeDocument/2006/relationships/numbering" Target="numbering.xml"/><Relationship Id="rId100" Type="http://schemas.openxmlformats.org/officeDocument/2006/relationships/customXml" Target="../customXml/item1.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PS%20Cloud%20Files\261248365\&#37073;&#2403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PS%20Cloud%20Files\261248365\&#37073;&#2403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PS%20Cloud%20Files\261248365\&#37073;&#2403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ocuments\WPS%20Cloud%20Files\261248365\&#37073;&#2403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ocuments\WPS%20Cloud%20Files\261248365\&#37073;&#2403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ocuments\WPS%20Cloud%20Files\261248365\&#37073;&#2403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ocuments\WPS%20Cloud%20Files\261248365\&#37073;&#2403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ocuments\WPS%20Cloud%20Files\261248365\&#37073;&#2403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ocuments\WPS%20Cloud%20Files\261248365\&#37073;&#2403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PS%20Cloud%20Files\261248365\&#37073;&#2403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ocuments\WPS%20Cloud%20Files\261248365\&#37073;&#2403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PS%20Cloud%20Files\261248365\&#37073;&#2403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ocuments\WPS%20Cloud%20Files\261248365\&#37073;&#2403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ocuments\WPS%20Cloud%20Files\261248365\&#37073;&#2403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ocuments\WPS%20Cloud%20Files\261248365\&#37073;&#2403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ocuments\WPS%20Cloud%20Files\261248365\&#37073;&#2403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ocuments\WPS%20Cloud%20Files\261248365\&#37073;&#2403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ocuments\WPS%20Cloud%20Files\261248365\&#37073;&#2403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ocuments\WPS%20Cloud%20Files\261248365\&#37073;&#2403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ocuments\WPS%20Cloud%20Files\261248365\&#37073;&#2403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ocuments\WPS%20Cloud%20Files\261248365\&#37073;&#2403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ocuments\WPS%20Cloud%20Files\261248365\&#37073;&#2403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PS%20Cloud%20Files\261248365\&#37073;&#2403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ocuments\WPS%20Cloud%20Files\261248365\&#37073;&#2403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ocuments\WPS%20Cloud%20Files\261248365\&#37073;&#2403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ocuments\WPS%20Cloud%20Files\261248365\&#37073;&#2403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ocuments\WPS%20Cloud%20Files\261248365\&#37073;&#2403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ocuments\WPS%20Cloud%20Files\261248365\&#37073;&#2403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ocuments\WPS%20Cloud%20Files\261248365\&#37073;&#2403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ocuments\WPS%20Cloud%20Files\261248365\&#37073;&#2403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ocuments\WPS%20Cloud%20Files\261248365\&#37073;&#2403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ocuments\WPS%20Cloud%20Files\261248365\&#37073;&#2403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ocuments\WPS%20Cloud%20Files\261248365\&#37073;&#2403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WPS%20Cloud%20Files\261248365\&#37073;&#2403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ocuments\WPS%20Cloud%20Files\261248365\&#37073;&#2403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ocuments\WPS%20Cloud%20Files\261248365\&#37073;&#2403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ocuments\WPS%20Cloud%20Files\261248365\&#37073;&#2403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ocuments\WPS%20Cloud%20Files\261248365\&#37073;&#2403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ocuments\WPS%20Cloud%20Files\261248365\&#37073;&#2403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ocuments\WPS%20Cloud%20Files\261248365\&#37073;&#2403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ocuments\WPS%20Cloud%20Files\261248365\&#37073;&#2403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ocuments\WPS%20Cloud%20Files\261248365\&#37073;&#2403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ocuments\WPS%20Cloud%20Files\261248365\&#37073;&#2403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ocuments\WPS%20Cloud%20Files\261248365\&#37073;&#2403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PS%20Cloud%20Files\261248365\&#37073;&#2403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ocuments\WPS%20Cloud%20Files\261248365\&#37073;&#2403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ocuments\WPS%20Cloud%20Files\261248365\&#37073;&#2403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ocuments\WPS%20Cloud%20Files\261248365\&#37073;&#2403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ocuments\WPS%20Cloud%20Files\261248365\&#37073;&#2403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ocuments\WPS%20Cloud%20Files\261248365\&#37073;&#2403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ocuments\WPS%20Cloud%20Files\261248365\&#37073;&#2403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ocuments\WPS%20Cloud%20Files\261248365\&#37073;&#2403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ocuments\WPS%20Cloud%20Files\261248365\&#37073;&#2403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ocuments\WPS%20Cloud%20Files\261248365\&#37073;&#2403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ocuments\WPS%20Cloud%20Files\261248365\&#37073;&#2403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ocuments\WPS%20Cloud%20Files\261248365\&#37073;&#2403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ocuments\WPS%20Cloud%20Files\261248365\&#37073;&#2403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ocuments\WPS%20Cloud%20Files\261248365\&#37073;&#2403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ocuments\WPS%20Cloud%20Files\261248365\&#37073;&#2403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ocuments\WPS%20Cloud%20Files\261248365\&#37073;&#2403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ocuments\WPS%20Cloud%20Files\261248365\&#37073;&#2403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ocuments\WPS%20Cloud%20Files\261248365\&#37073;&#2403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ocuments\WPS%20Cloud%20Files\261248365\&#37073;&#2403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ocuments\WPS%20Cloud%20Files\261248365\&#37073;&#2403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ocuments\WPS%20Cloud%20Files\261248365\&#37073;&#2403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ocuments\WPS%20Cloud%20Files\261248365\&#37073;&#2403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ocuments\WPS%20Cloud%20Files\261248365\&#37073;&#2403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ocuments\WPS%20Cloud%20Files\261248365\&#37073;&#2403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ocuments\WPS%20Cloud%20Files\261248365\&#37073;&#2403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ocuments\WPS%20Cloud%20Files\261248365\&#37073;&#2403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ocuments\WPS%20Cloud%20Files\261248365\&#37073;&#2403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ocuments\WPS%20Cloud%20Files\261248365\&#37073;&#2403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ocuments\WPS%20Cloud%20Files\261248365\&#37073;&#2403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ocuments\WPS%20Cloud%20Files\261248365\&#37073;&#2403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ocuments\WPS%20Cloud%20Files\261248365\&#37073;&#2403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ocuments\WPS%20Cloud%20Files\261248365\&#37073;&#2403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ocuments\WPS%20Cloud%20Files\261248365\&#37073;&#2403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ocuments\WPS%20Cloud%20Files\261248365\&#37073;&#2403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ocuments\WPS%20Cloud%20Files\261248365\&#37073;&#2403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ocuments\WPS%20Cloud%20Files\261248365\&#37073;&#2403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ocuments\WPS%20Cloud%20Files\261248365\&#37073;&#2403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ocuments\WPS%20Cloud%20Files\261248365\&#37073;&#240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spc="50" baseline="0">
                <a:solidFill>
                  <a:schemeClr val="tx1">
                    <a:lumMod val="65000"/>
                    <a:lumOff val="35000"/>
                  </a:schemeClr>
                </a:solidFill>
                <a:latin typeface="+mn-lt"/>
                <a:ea typeface="+mn-ea"/>
                <a:cs typeface="+mn-cs"/>
              </a:defRPr>
            </a:pPr>
            <a:r>
              <a:rPr lang="zh-CN" altLang="en-US" b="0"/>
              <a:t>郑州从业人员网民性别分布图</a:t>
            </a:r>
            <a:endParaRPr lang="zh-CN" b="0"/>
          </a:p>
        </c:rich>
      </c:tx>
      <c:layout/>
      <c:overlay val="0"/>
      <c:spPr>
        <a:noFill/>
        <a:ln>
          <a:noFill/>
        </a:ln>
        <a:effectLst/>
      </c:spPr>
    </c:title>
    <c:autoTitleDeleted val="0"/>
    <c:plotArea>
      <c:layout/>
      <c:pieChart>
        <c:varyColors val="1"/>
        <c:ser>
          <c:idx val="0"/>
          <c:order val="0"/>
          <c:tx>
            <c:strRef>
              <c:f>[郑州.xlsx]主卷!$B$2</c:f>
              <c:strCache>
                <c:ptCount val="1"/>
                <c:pt idx="0">
                  <c:v>郑州占比</c:v>
                </c:pt>
              </c:strCache>
            </c:strRef>
          </c:tx>
          <c:spPr/>
          <c:explosion val="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dLbl>
              <c:idx val="0"/>
              <c:layout>
                <c:manualLayout>
                  <c:x val="0.0361741175306242"/>
                  <c:y val="-0.133251639007029"/>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accent1">
                          <a:lumMod val="75000"/>
                        </a:schemeClr>
                      </a:solidFill>
                      <a:latin typeface="微软雅黑" panose="020B0503020204020204" charset="-122"/>
                      <a:ea typeface="微软雅黑" panose="020B0503020204020204" charset="-122"/>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90279029772195"/>
                  <c:y val="0.01838663023860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400" b="1" i="0" u="none" strike="noStrike" kern="1200" baseline="0">
                    <a:solidFill>
                      <a:schemeClr val="accent2"/>
                    </a:solidFill>
                    <a:latin typeface="微软雅黑" panose="020B0503020204020204" charset="-122"/>
                    <a:ea typeface="微软雅黑" panose="020B0503020204020204" charset="-122"/>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[郑州.xlsx]主卷!$A$3:$A$4</c:f>
              <c:strCache>
                <c:ptCount val="2"/>
                <c:pt idx="0">
                  <c:v>男</c:v>
                </c:pt>
                <c:pt idx="1">
                  <c:v>女</c:v>
                </c:pt>
              </c:strCache>
            </c:strRef>
          </c:cat>
          <c:val>
            <c:numRef>
              <c:f>[郑州.xlsx]主卷!$B$3:$B$4</c:f>
              <c:numCache>
                <c:formatCode>0.00%</c:formatCode>
                <c:ptCount val="2"/>
                <c:pt idx="0">
                  <c:v>0.5936</c:v>
                </c:pt>
                <c:pt idx="1">
                  <c:v>0.4064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1"/>
          <c:order val="1"/>
          <c:tx>
            <c:strRef>
              <c:f>[郑州.xlsx]主卷!$C$94</c:f>
              <c:strCache>
                <c:ptCount val="1"/>
                <c:pt idx="0">
                  <c:v>郑州占比</c:v>
                </c:pt>
              </c:strCache>
            </c:strRef>
          </c:tx>
          <c:spPr>
            <a:solidFill>
              <a:schemeClr val="accent6"/>
            </a:solidFill>
            <a:ln>
              <a:noFill/>
            </a:ln>
            <a:effectLst/>
          </c:spPr>
          <c:invertIfNegative val="0"/>
          <c:dLbls>
            <c:dLbl>
              <c:idx val="2"/>
              <c:layout>
                <c:manualLayout>
                  <c:x val="-0.0115277777777778"/>
                  <c:y val="0.03078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22222222222222"/>
                  <c:y val="0.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30555555555556"/>
                  <c:y val="0.0502314814814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[郑州.xlsx]主卷!$A$95:$A$100</c:f>
              <c:strCache>
                <c:ptCount val="6"/>
                <c:pt idx="0">
                  <c:v>明显增加</c:v>
                </c:pt>
                <c:pt idx="1">
                  <c:v>略有增加</c:v>
                </c:pt>
                <c:pt idx="2">
                  <c:v>没有变化</c:v>
                </c:pt>
                <c:pt idx="3">
                  <c:v>略有减少</c:v>
                </c:pt>
                <c:pt idx="4">
                  <c:v>明显减少</c:v>
                </c:pt>
                <c:pt idx="5">
                  <c:v>不了解</c:v>
                </c:pt>
              </c:strCache>
            </c:strRef>
          </c:cat>
          <c:val>
            <c:numRef>
              <c:f>[郑州.xlsx]主卷!$C$95:$C$100</c:f>
              <c:numCache>
                <c:formatCode>0.00%</c:formatCode>
                <c:ptCount val="6"/>
                <c:pt idx="0">
                  <c:v>0.1854</c:v>
                </c:pt>
                <c:pt idx="1">
                  <c:v>0.1857</c:v>
                </c:pt>
                <c:pt idx="2">
                  <c:v>0.084</c:v>
                </c:pt>
                <c:pt idx="3">
                  <c:v>0.1653</c:v>
                </c:pt>
                <c:pt idx="4">
                  <c:v>0.1446</c:v>
                </c:pt>
                <c:pt idx="5">
                  <c:v>0.2351</c:v>
                </c:pt>
              </c:numCache>
            </c:numRef>
          </c:val>
        </c:ser>
        <c:ser>
          <c:idx val="3"/>
          <c:order val="3"/>
          <c:tx>
            <c:strRef>
              <c:f>[郑州.xlsx]主卷!$E$94</c:f>
              <c:strCache>
                <c:ptCount val="1"/>
                <c:pt idx="0">
                  <c:v>河南占比</c:v>
                </c:pt>
              </c:strCache>
            </c:strRef>
          </c:tx>
          <c:spPr>
            <a:solidFill>
              <a:schemeClr val="tx2">
                <a:lumMod val="60000"/>
                <a:lumOff val="40000"/>
              </a:schemeClr>
            </a:solidFill>
            <a:ln>
              <a:noFill/>
            </a:ln>
            <a:effectLst/>
          </c:spPr>
          <c:invertIfNegative val="0"/>
          <c:dLbls>
            <c:dLbl>
              <c:idx val="0"/>
              <c:layout>
                <c:manualLayout>
                  <c:x val="0.0138888888888889"/>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1111111111111"/>
                  <c:y val="0.03078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[郑州.xlsx]主卷!$A$95:$A$100</c:f>
              <c:strCache>
                <c:ptCount val="6"/>
                <c:pt idx="0">
                  <c:v>明显增加</c:v>
                </c:pt>
                <c:pt idx="1">
                  <c:v>略有增加</c:v>
                </c:pt>
                <c:pt idx="2">
                  <c:v>没有变化</c:v>
                </c:pt>
                <c:pt idx="3">
                  <c:v>略有减少</c:v>
                </c:pt>
                <c:pt idx="4">
                  <c:v>明显减少</c:v>
                </c:pt>
                <c:pt idx="5">
                  <c:v>不了解</c:v>
                </c:pt>
              </c:strCache>
            </c:strRef>
          </c:cat>
          <c:val>
            <c:numRef>
              <c:f>[郑州.xlsx]主卷!$E$95:$E$100</c:f>
              <c:numCache>
                <c:formatCode>0.00%</c:formatCode>
                <c:ptCount val="6"/>
                <c:pt idx="0">
                  <c:v>0.1751</c:v>
                </c:pt>
                <c:pt idx="1">
                  <c:v>0.1825</c:v>
                </c:pt>
                <c:pt idx="2">
                  <c:v>0.0876</c:v>
                </c:pt>
                <c:pt idx="3">
                  <c:v>0.1682</c:v>
                </c:pt>
                <c:pt idx="4">
                  <c:v>0.1541</c:v>
                </c:pt>
                <c:pt idx="5">
                  <c:v>0.2326</c:v>
                </c:pt>
              </c:numCache>
            </c:numRef>
          </c:val>
        </c:ser>
        <c:dLbls>
          <c:showLegendKey val="0"/>
          <c:showVal val="1"/>
          <c:showCatName val="0"/>
          <c:showSerName val="0"/>
          <c:showPercent val="0"/>
          <c:showBubbleSize val="0"/>
        </c:dLbls>
        <c:gapWidth val="219"/>
        <c:overlap val="-27"/>
        <c:axId val="217856800"/>
        <c:axId val="218279536"/>
        <c:extLst>
          <c:ext xmlns:c15="http://schemas.microsoft.com/office/drawing/2012/chart" uri="{02D57815-91ED-43cb-92C2-25804820EDAC}">
            <c15:filteredBarSeries>
              <c15:ser>
                <c:idx val="0"/>
                <c:order val="0"/>
                <c:tx>
                  <c:strRef>
                    <c:extLst>
                      <c:ext uri="{02D57815-91ED-43cb-92C2-25804820EDAC}">
                        <c15:formulaRef>
                          <c15:sqref>[郑州.xlsx]主卷!$B$94</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[郑州.xlsx]主卷!$A$95:$A$100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{4317,4324,1957,3849,3368,5476}</c15:sqref>
                        </c15:formulaRef>
                      </c:ext>
                    </c:extLst>
                    <c:numCache>
                      <c:formatCode>General</c:formatCode>
                      <c:ptCount val="6"/>
                      <c:pt idx="0">
                        <c:v>4317</c:v>
                      </c:pt>
                      <c:pt idx="1">
                        <c:v>4324</c:v>
                      </c:pt>
                      <c:pt idx="2">
                        <c:v>1957</c:v>
                      </c:pt>
                      <c:pt idx="3">
                        <c:v>3849</c:v>
                      </c:pt>
                      <c:pt idx="4">
                        <c:v>3368</c:v>
                      </c:pt>
                      <c:pt idx="5">
                        <c:v>5476</c:v>
                      </c:pt>
                    </c:numCache>
                  </c:numRef>
                </c:val>
              </c15:ser>
            </c15:filteredBarSeries>
            <c15:filteredBarSeries>
              <c15:ser>
                <c:idx val="2"/>
                <c:order val="2"/>
                <c:tx>
                  <c:strRef>
                    <c:extLst>
                      <c:ext uri="{02D57815-91ED-43cb-92C2-25804820EDAC}">
                        <c15:formulaRef>
                          <c15:sqref>[郑州.xlsx]主卷!$D$94</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[郑州.xlsx]主卷!$A$95:$A$100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{9743,10153,4876,9357,8573,12944}</c15:sqref>
                        </c15:formulaRef>
                      </c:ext>
                    </c:extLst>
                    <c:numCache>
                      <c:formatCode>General</c:formatCode>
                      <c:ptCount val="6"/>
                      <c:pt idx="0">
                        <c:v>9743</c:v>
                      </c:pt>
                      <c:pt idx="1">
                        <c:v>10153</c:v>
                      </c:pt>
                      <c:pt idx="2">
                        <c:v>4876</c:v>
                      </c:pt>
                      <c:pt idx="3">
                        <c:v>9357</c:v>
                      </c:pt>
                      <c:pt idx="4">
                        <c:v>8573</c:v>
                      </c:pt>
                      <c:pt idx="5">
                        <c:v>12944</c:v>
                      </c:pt>
                    </c:numCache>
                  </c:numRef>
                </c:val>
              </c15:ser>
            </c15:filteredBarSeries>
          </c:ext>
        </c:extLst>
      </c:barChart>
      <c:catAx>
        <c:axId val="217856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279536"/>
        <c:crosses val="autoZero"/>
        <c:auto val="1"/>
        <c:lblAlgn val="ctr"/>
        <c:lblOffset val="100"/>
        <c:noMultiLvlLbl val="0"/>
      </c:catAx>
      <c:valAx>
        <c:axId val="218279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56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manualLayout>
          <c:xMode val="edge"/>
          <c:yMode val="edge"/>
          <c:x val="0.260906862745098"/>
          <c:y val="0.031062331745703"/>
        </c:manualLayout>
      </c:layout>
      <c:overlay val="0"/>
      <c:spPr>
        <a:noFill/>
        <a:ln>
          <a:noFill/>
        </a:ln>
        <a:effectLst/>
      </c:spPr>
    </c:title>
    <c:autoTitleDeleted val="0"/>
    <c:plotArea>
      <c:layout/>
      <c:barChart>
        <c:barDir val="bar"/>
        <c:grouping val="clustered"/>
        <c:varyColors val="0"/>
        <c:ser>
          <c:idx val="0"/>
          <c:order val="0"/>
          <c:tx>
            <c:strRef>
              <c:f>[郑州.xlsx]主卷!$B$104</c:f>
              <c:strCache>
                <c:ptCount val="1"/>
                <c:pt idx="0">
                  <c:v>郑州占比</c:v>
                </c:pt>
              </c:strCache>
            </c:strRef>
          </c:tx>
          <c:spPr>
            <a:solidFill>
              <a:schemeClr val="tx2">
                <a:lumMod val="60000"/>
                <a:lumOff val="40000"/>
              </a:schemeClr>
            </a:solidFill>
            <a:ln>
              <a:noFill/>
            </a:ln>
            <a:effectLst/>
          </c:spPr>
          <c:invertIfNegative val="0"/>
          <c:dLbls>
            <c:dLbl>
              <c:idx val="2"/>
              <c:layout>
                <c:manualLayout>
                  <c:x val="0.00208333333333333"/>
                  <c:y val="0.010354110581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12745098039216"/>
                  <c:y val="0.020708221163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[郑州.xlsx]主卷!$A$105:$A$113</c:f>
              <c:strCache>
                <c:ptCount val="9"/>
                <c:pt idx="0">
                  <c:v>DDOS攻击</c:v>
                </c:pt>
                <c:pt idx="1">
                  <c:v>肉鸡挖矿</c:v>
                </c:pt>
                <c:pt idx="2">
                  <c:v>“杀猪盘”</c:v>
                </c:pt>
                <c:pt idx="3">
                  <c:v>勒索病毒</c:v>
                </c:pt>
                <c:pt idx="4">
                  <c:v>其他</c:v>
                </c:pt>
                <c:pt idx="5">
                  <c:v>“薅羊毛”</c:v>
                </c:pt>
                <c:pt idx="6">
                  <c:v>手机应用分发</c:v>
                </c:pt>
                <c:pt idx="7">
                  <c:v>暗扣话费</c:v>
                </c:pt>
                <c:pt idx="8">
                  <c:v>虚假流量</c:v>
                </c:pt>
              </c:strCache>
            </c:strRef>
          </c:cat>
          <c:val>
            <c:numRef>
              <c:f>[郑州.xlsx]主卷!$B$105:$B$113</c:f>
              <c:numCache>
                <c:formatCode>0.00%</c:formatCode>
                <c:ptCount val="9"/>
                <c:pt idx="0">
                  <c:v>0.0991</c:v>
                </c:pt>
                <c:pt idx="1" c:formatCode="0%">
                  <c:v>0.1</c:v>
                </c:pt>
                <c:pt idx="2">
                  <c:v>0.1519</c:v>
                </c:pt>
                <c:pt idx="3">
                  <c:v>0.204</c:v>
                </c:pt>
                <c:pt idx="4">
                  <c:v>0.2055</c:v>
                </c:pt>
                <c:pt idx="5">
                  <c:v>0.2136</c:v>
                </c:pt>
                <c:pt idx="6">
                  <c:v>0.3119</c:v>
                </c:pt>
                <c:pt idx="7">
                  <c:v>0.3814</c:v>
                </c:pt>
                <c:pt idx="8">
                  <c:v>0.4195</c:v>
                </c:pt>
              </c:numCache>
            </c:numRef>
          </c:val>
        </c:ser>
        <c:ser>
          <c:idx val="3"/>
          <c:order val="3"/>
          <c:tx>
            <c:strRef>
              <c:f>[郑州.xlsx]主卷!$E$104</c:f>
              <c:strCache>
                <c:ptCount val="1"/>
                <c:pt idx="0">
                  <c:v>河南占比</c:v>
                </c:pt>
              </c:strCache>
            </c:strRef>
          </c:tx>
          <c:spPr>
            <a:solidFill>
              <a:schemeClr val="accent6"/>
            </a:solidFill>
            <a:ln>
              <a:noFill/>
            </a:ln>
            <a:effectLst/>
          </c:spPr>
          <c:invertIfNegative val="0"/>
          <c:dLbls>
            <c:dLbl>
              <c:idx val="0"/>
              <c:layout>
                <c:manualLayout>
                  <c:x val="-0.00404411764705882"/>
                  <c:y val="-0.0242286187616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12745098039216"/>
                  <c:y val="-0.0171878235659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04411764705882"/>
                  <c:y val="-0.0171878235659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04411764705882"/>
                  <c:y val="-0.020708221163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04411764705882"/>
                  <c:y val="-0.0345827293435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[郑州.xlsx]主卷!$A$105:$A$113</c:f>
              <c:strCache>
                <c:ptCount val="9"/>
                <c:pt idx="0">
                  <c:v>DDOS攻击</c:v>
                </c:pt>
                <c:pt idx="1">
                  <c:v>肉鸡挖矿</c:v>
                </c:pt>
                <c:pt idx="2">
                  <c:v>“杀猪盘”</c:v>
                </c:pt>
                <c:pt idx="3">
                  <c:v>勒索病毒</c:v>
                </c:pt>
                <c:pt idx="4">
                  <c:v>其他</c:v>
                </c:pt>
                <c:pt idx="5">
                  <c:v>“薅羊毛”</c:v>
                </c:pt>
                <c:pt idx="6">
                  <c:v>手机应用分发</c:v>
                </c:pt>
                <c:pt idx="7">
                  <c:v>暗扣话费</c:v>
                </c:pt>
                <c:pt idx="8">
                  <c:v>虚假流量</c:v>
                </c:pt>
              </c:strCache>
            </c:strRef>
          </c:cat>
          <c:val>
            <c:numRef>
              <c:f>[郑州.xlsx]主卷!$E$105:$E$113</c:f>
              <c:numCache>
                <c:formatCode>0.00%</c:formatCode>
                <c:ptCount val="9"/>
                <c:pt idx="0">
                  <c:v>0.0926</c:v>
                </c:pt>
                <c:pt idx="1">
                  <c:v>0.0882</c:v>
                </c:pt>
                <c:pt idx="2">
                  <c:v>0.1341</c:v>
                </c:pt>
                <c:pt idx="3">
                  <c:v>0.1974</c:v>
                </c:pt>
                <c:pt idx="4">
                  <c:v>0.2373</c:v>
                </c:pt>
                <c:pt idx="5">
                  <c:v>0.1857</c:v>
                </c:pt>
                <c:pt idx="6">
                  <c:v>0.2939</c:v>
                </c:pt>
                <c:pt idx="7">
                  <c:v>0.397</c:v>
                </c:pt>
                <c:pt idx="8">
                  <c:v>0.4274</c:v>
                </c:pt>
              </c:numCache>
            </c:numRef>
          </c:val>
        </c:ser>
        <c:dLbls>
          <c:showLegendKey val="0"/>
          <c:showVal val="1"/>
          <c:showCatName val="0"/>
          <c:showSerName val="0"/>
          <c:showPercent val="0"/>
          <c:showBubbleSize val="0"/>
        </c:dLbls>
        <c:gapWidth val="182"/>
        <c:axId val="324937306"/>
        <c:axId val="264196506"/>
        <c:extLst>
          <c:ext xmlns:c15="http://schemas.microsoft.com/office/drawing/2012/chart" uri="{02D57815-91ED-43cb-92C2-25804820EDAC}">
            <c15:filteredBarSeries>
              <c15:ser>
                <c:idx val="1"/>
                <c:order val="1"/>
                <c:tx>
                  <c:strRef>
                    <c:extLst>
                      <c:ext uri="{02D57815-91ED-43cb-92C2-25804820EDAC}">
                        <c15:formulaRef>
                          <c15:sqref>[郑州.xlsx]主卷!$C$104</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[郑州.xlsx]主卷!$A$105:$A$113</c15:sqref>
                        </c15:formulaRef>
                      </c:ext>
                    </c:extLst>
                    <c:strCache>
                      <c:ptCount val="9"/>
                      <c:pt idx="0">
                        <c:v>DDOS攻击</c:v>
                      </c:pt>
                      <c:pt idx="1">
                        <c:v>肉鸡挖矿</c:v>
                      </c:pt>
                      <c:pt idx="2">
                        <c:v>“杀猪盘”</c:v>
                      </c:pt>
                      <c:pt idx="3">
                        <c:v>勒索病毒</c:v>
                      </c:pt>
                      <c:pt idx="4">
                        <c:v>其他</c:v>
                      </c:pt>
                      <c:pt idx="5">
                        <c:v>“薅羊毛”</c:v>
                      </c:pt>
                      <c:pt idx="6">
                        <c:v>手机应用分发</c:v>
                      </c:pt>
                      <c:pt idx="7">
                        <c:v>暗扣话费</c:v>
                      </c:pt>
                      <c:pt idx="8">
                        <c:v>虚假流量</c:v>
                      </c:pt>
                    </c:strCache>
                  </c:strRef>
                </c:cat>
                <c:val>
                  <c:numRef>
                    <c:extLst>
                      <c:ext uri="{02D57815-91ED-43cb-92C2-25804820EDAC}">
                        <c15:formulaRef>
                          <c15:sqref>{2308,2329,3539,4752,4786,4975,7265,8884,9771}</c15:sqref>
                        </c15:formulaRef>
                      </c:ext>
                    </c:extLst>
                    <c:numCache>
                      <c:formatCode>General</c:formatCode>
                      <c:ptCount val="9"/>
                      <c:pt idx="0">
                        <c:v>2308</c:v>
                      </c:pt>
                      <c:pt idx="1">
                        <c:v>2329</c:v>
                      </c:pt>
                      <c:pt idx="2">
                        <c:v>3539</c:v>
                      </c:pt>
                      <c:pt idx="3">
                        <c:v>4752</c:v>
                      </c:pt>
                      <c:pt idx="4">
                        <c:v>4786</c:v>
                      </c:pt>
                      <c:pt idx="5">
                        <c:v>4975</c:v>
                      </c:pt>
                      <c:pt idx="6">
                        <c:v>7265</c:v>
                      </c:pt>
                      <c:pt idx="7">
                        <c:v>8884</c:v>
                      </c:pt>
                      <c:pt idx="8">
                        <c:v>9771</c:v>
                      </c:pt>
                    </c:numCache>
                  </c:numRef>
                </c:val>
              </c15:ser>
            </c15:filteredBarSeries>
            <c15:filteredBarSeries>
              <c15:ser>
                <c:idx val="2"/>
                <c:order val="2"/>
                <c:tx>
                  <c:strRef>
                    <c:extLst>
                      <c:ext uri="{02D57815-91ED-43cb-92C2-25804820EDAC}">
                        <c15:formulaRef>
                          <c15:sqref>[郑州.xlsx]主卷!$D$104</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[郑州.xlsx]主卷!$A$105:$A$113</c15:sqref>
                        </c15:formulaRef>
                      </c:ext>
                    </c:extLst>
                    <c:strCache>
                      <c:ptCount val="9"/>
                      <c:pt idx="0">
                        <c:v>DDOS攻击</c:v>
                      </c:pt>
                      <c:pt idx="1">
                        <c:v>肉鸡挖矿</c:v>
                      </c:pt>
                      <c:pt idx="2">
                        <c:v>“杀猪盘”</c:v>
                      </c:pt>
                      <c:pt idx="3">
                        <c:v>勒索病毒</c:v>
                      </c:pt>
                      <c:pt idx="4">
                        <c:v>其他</c:v>
                      </c:pt>
                      <c:pt idx="5">
                        <c:v>“薅羊毛”</c:v>
                      </c:pt>
                      <c:pt idx="6">
                        <c:v>手机应用分发</c:v>
                      </c:pt>
                      <c:pt idx="7">
                        <c:v>暗扣话费</c:v>
                      </c:pt>
                      <c:pt idx="8">
                        <c:v>虚假流量</c:v>
                      </c:pt>
                    </c:strCache>
                  </c:strRef>
                </c:cat>
                <c:val>
                  <c:numRef>
                    <c:extLst>
                      <c:ext uri="{02D57815-91ED-43cb-92C2-25804820EDAC}">
                        <c15:formulaRef>
                          <c15:sqref>{5154,4909,7462,10983,13205,10335,16353,22091,23784}</c15:sqref>
                        </c15:formulaRef>
                      </c:ext>
                    </c:extLst>
                    <c:numCache>
                      <c:formatCode>General</c:formatCode>
                      <c:ptCount val="9"/>
                      <c:pt idx="0">
                        <c:v>5154</c:v>
                      </c:pt>
                      <c:pt idx="1">
                        <c:v>4909</c:v>
                      </c:pt>
                      <c:pt idx="2">
                        <c:v>7462</c:v>
                      </c:pt>
                      <c:pt idx="3">
                        <c:v>10983</c:v>
                      </c:pt>
                      <c:pt idx="4">
                        <c:v>13205</c:v>
                      </c:pt>
                      <c:pt idx="5">
                        <c:v>10335</c:v>
                      </c:pt>
                      <c:pt idx="6">
                        <c:v>16353</c:v>
                      </c:pt>
                      <c:pt idx="7">
                        <c:v>22091</c:v>
                      </c:pt>
                      <c:pt idx="8">
                        <c:v>23784</c:v>
                      </c:pt>
                    </c:numCache>
                  </c:numRef>
                </c:val>
              </c15:ser>
            </c15:filteredBarSeries>
          </c:ext>
        </c:extLst>
      </c:barChart>
      <c:catAx>
        <c:axId val="32493730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196506"/>
        <c:crosses val="autoZero"/>
        <c:auto val="1"/>
        <c:lblAlgn val="ctr"/>
        <c:lblOffset val="100"/>
        <c:noMultiLvlLbl val="0"/>
      </c:catAx>
      <c:valAx>
        <c:axId val="2641965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9373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[郑州.xlsx]主卷!$B$117</c:f>
              <c:strCache>
                <c:ptCount val="1"/>
                <c:pt idx="0">
                  <c:v>郑州占比</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[郑州.xlsx]主卷!$A$118:$A$122</c:f>
              <c:strCache>
                <c:ptCount val="5"/>
                <c:pt idx="0">
                  <c:v>其他</c:v>
                </c:pt>
                <c:pt idx="1">
                  <c:v>社会监督不足</c:v>
                </c:pt>
                <c:pt idx="2">
                  <c:v>利益驱动</c:v>
                </c:pt>
                <c:pt idx="3">
                  <c:v>平台管理漏洞</c:v>
                </c:pt>
                <c:pt idx="4">
                  <c:v>相关法律欠缺</c:v>
                </c:pt>
              </c:strCache>
            </c:strRef>
          </c:cat>
          <c:val>
            <c:numRef>
              <c:f>[郑州.xlsx]主卷!$B$118:$B$122</c:f>
              <c:numCache>
                <c:formatCode>0.00%</c:formatCode>
                <c:ptCount val="5"/>
                <c:pt idx="0">
                  <c:v>0.1462</c:v>
                </c:pt>
                <c:pt idx="1">
                  <c:v>0.2785</c:v>
                </c:pt>
                <c:pt idx="2">
                  <c:v>0.4589</c:v>
                </c:pt>
                <c:pt idx="3">
                  <c:v>0.4725</c:v>
                </c:pt>
                <c:pt idx="4">
                  <c:v>0.5042</c:v>
                </c:pt>
              </c:numCache>
            </c:numRef>
          </c:val>
        </c:ser>
        <c:ser>
          <c:idx val="3"/>
          <c:order val="3"/>
          <c:tx>
            <c:strRef>
              <c:f>[郑州.xlsx]主卷!$E$117</c:f>
              <c:strCache>
                <c:ptCount val="1"/>
                <c:pt idx="0">
                  <c:v>河南占比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[郑州.xlsx]主卷!$A$118:$A$122</c:f>
              <c:strCache>
                <c:ptCount val="5"/>
                <c:pt idx="0">
                  <c:v>其他</c:v>
                </c:pt>
                <c:pt idx="1">
                  <c:v>社会监督不足</c:v>
                </c:pt>
                <c:pt idx="2">
                  <c:v>利益驱动</c:v>
                </c:pt>
                <c:pt idx="3">
                  <c:v>平台管理漏洞</c:v>
                </c:pt>
                <c:pt idx="4">
                  <c:v>相关法律欠缺</c:v>
                </c:pt>
              </c:strCache>
            </c:strRef>
          </c:cat>
          <c:val>
            <c:numRef>
              <c:f>[郑州.xlsx]主卷!$E$118:$E$122</c:f>
              <c:numCache>
                <c:formatCode>0.00%</c:formatCode>
                <c:ptCount val="5"/>
                <c:pt idx="0">
                  <c:v>0.1657</c:v>
                </c:pt>
                <c:pt idx="1">
                  <c:v>0.2877</c:v>
                </c:pt>
                <c:pt idx="2">
                  <c:v>0.4408</c:v>
                </c:pt>
                <c:pt idx="3">
                  <c:v>0.4787</c:v>
                </c:pt>
                <c:pt idx="4">
                  <c:v>0.4793</c:v>
                </c:pt>
              </c:numCache>
            </c:numRef>
          </c:val>
        </c:ser>
        <c:dLbls>
          <c:showLegendKey val="0"/>
          <c:showVal val="1"/>
          <c:showCatName val="0"/>
          <c:showSerName val="0"/>
          <c:showPercent val="0"/>
          <c:showBubbleSize val="0"/>
        </c:dLbls>
        <c:gapWidth val="182"/>
        <c:axId val="22831328"/>
        <c:axId val="327947963"/>
        <c:extLst>
          <c:ext xmlns:c15="http://schemas.microsoft.com/office/drawing/2012/chart" uri="{02D57815-91ED-43cb-92C2-25804820EDAC}">
            <c15:filteredBarSeries>
              <c15:ser>
                <c:idx val="1"/>
                <c:order val="1"/>
                <c:tx>
                  <c:strRef>
                    <c:extLst>
                      <c:ext uri="{02D57815-91ED-43cb-92C2-25804820EDAC}">
                        <c15:formulaRef>
                          <c15:sqref>[郑州.xlsx]主卷!$C$117</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[郑州.xlsx]主卷!$A$118:$A$122</c15:sqref>
                        </c15:formulaRef>
                      </c:ext>
                    </c:extLst>
                    <c:strCache>
                      <c:ptCount val="5"/>
                      <c:pt idx="0">
                        <c:v>其他</c:v>
                      </c:pt>
                      <c:pt idx="1">
                        <c:v>社会监督不足</c:v>
                      </c:pt>
                      <c:pt idx="2">
                        <c:v>利益驱动</c:v>
                      </c:pt>
                      <c:pt idx="3">
                        <c:v>平台管理漏洞</c:v>
                      </c:pt>
                      <c:pt idx="4">
                        <c:v>相关法律欠缺</c:v>
                      </c:pt>
                    </c:strCache>
                  </c:strRef>
                </c:cat>
                <c:val>
                  <c:numRef>
                    <c:extLst>
                      <c:ext uri="{02D57815-91ED-43cb-92C2-25804820EDAC}">
                        <c15:formulaRef>
                          <c15:sqref>{3406,6486,10689,11006,11744}</c15:sqref>
                        </c15:formulaRef>
                      </c:ext>
                    </c:extLst>
                    <c:numCache>
                      <c:formatCode>General</c:formatCode>
                      <c:ptCount val="5"/>
                      <c:pt idx="0">
                        <c:v>3406</c:v>
                      </c:pt>
                      <c:pt idx="1">
                        <c:v>6486</c:v>
                      </c:pt>
                      <c:pt idx="2">
                        <c:v>10689</c:v>
                      </c:pt>
                      <c:pt idx="3">
                        <c:v>11006</c:v>
                      </c:pt>
                      <c:pt idx="4">
                        <c:v>11744</c:v>
                      </c:pt>
                    </c:numCache>
                  </c:numRef>
                </c:val>
              </c15:ser>
            </c15:filteredBarSeries>
            <c15:filteredBarSeries>
              <c15:ser>
                <c:idx val="2"/>
                <c:order val="2"/>
                <c:tx>
                  <c:strRef>
                    <c:extLst>
                      <c:ext uri="{02D57815-91ED-43cb-92C2-25804820EDAC}">
                        <c15:formulaRef>
                          <c15:sqref>[郑州.xlsx]主卷!$D$117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[郑州.xlsx]主卷!$A$118:$A$122</c15:sqref>
                        </c15:formulaRef>
                      </c:ext>
                    </c:extLst>
                    <c:strCache>
                      <c:ptCount val="5"/>
                      <c:pt idx="0">
                        <c:v>其他</c:v>
                      </c:pt>
                      <c:pt idx="1">
                        <c:v>社会监督不足</c:v>
                      </c:pt>
                      <c:pt idx="2">
                        <c:v>利益驱动</c:v>
                      </c:pt>
                      <c:pt idx="3">
                        <c:v>平台管理漏洞</c:v>
                      </c:pt>
                      <c:pt idx="4">
                        <c:v>相关法律欠缺</c:v>
                      </c:pt>
                    </c:strCache>
                  </c:strRef>
                </c:cat>
                <c:val>
                  <c:numRef>
                    <c:extLst>
                      <c:ext uri="{02D57815-91ED-43cb-92C2-25804820EDAC}">
                        <c15:formulaRef>
                          <c15:sqref>{9223,16008,24531,26636,26670}</c15:sqref>
                        </c15:formulaRef>
                      </c:ext>
                    </c:extLst>
                    <c:numCache>
                      <c:formatCode>General</c:formatCode>
                      <c:ptCount val="5"/>
                      <c:pt idx="0">
                        <c:v>9223</c:v>
                      </c:pt>
                      <c:pt idx="1">
                        <c:v>16008</c:v>
                      </c:pt>
                      <c:pt idx="2">
                        <c:v>24531</c:v>
                      </c:pt>
                      <c:pt idx="3">
                        <c:v>26636</c:v>
                      </c:pt>
                      <c:pt idx="4">
                        <c:v>26670</c:v>
                      </c:pt>
                    </c:numCache>
                  </c:numRef>
                </c:val>
              </c15:ser>
            </c15:filteredBarSeries>
          </c:ext>
        </c:extLst>
      </c:barChart>
      <c:catAx>
        <c:axId val="22831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947963"/>
        <c:crosses val="autoZero"/>
        <c:auto val="1"/>
        <c:lblAlgn val="ctr"/>
        <c:lblOffset val="100"/>
        <c:noMultiLvlLbl val="0"/>
      </c:catAx>
      <c:valAx>
        <c:axId val="3279479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31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manualLayout>
          <c:xMode val="edge"/>
          <c:yMode val="edge"/>
          <c:x val="0.231111111111111"/>
          <c:y val="0.0416666666666667"/>
        </c:manualLayout>
      </c:layout>
      <c:overlay val="0"/>
      <c:spPr>
        <a:noFill/>
        <a:ln>
          <a:noFill/>
        </a:ln>
        <a:effectLst/>
      </c:spPr>
    </c:title>
    <c:autoTitleDeleted val="0"/>
    <c:plotArea>
      <c:layout/>
      <c:barChart>
        <c:barDir val="bar"/>
        <c:grouping val="clustered"/>
        <c:varyColors val="0"/>
        <c:ser>
          <c:idx val="0"/>
          <c:order val="0"/>
          <c:tx>
            <c:strRef>
              <c:f>[郑州.xlsx]主卷!$B$127</c:f>
              <c:strCache>
                <c:ptCount val="1"/>
                <c:pt idx="0">
                  <c:v>郑州占比</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[郑州.xlsx]主卷!$A$128:$A$134</c:f>
              <c:strCache>
                <c:ptCount val="7"/>
                <c:pt idx="0">
                  <c:v>其他</c:v>
                </c:pt>
                <c:pt idx="1">
                  <c:v>工具链条</c:v>
                </c:pt>
                <c:pt idx="2">
                  <c:v>资金链条</c:v>
                </c:pt>
                <c:pt idx="3">
                  <c:v>流量链条</c:v>
                </c:pt>
                <c:pt idx="4">
                  <c:v>推广链条</c:v>
                </c:pt>
                <c:pt idx="5">
                  <c:v>帐号链条</c:v>
                </c:pt>
                <c:pt idx="6">
                  <c:v>信息链条</c:v>
                </c:pt>
              </c:strCache>
            </c:strRef>
          </c:cat>
          <c:val>
            <c:numRef>
              <c:f>[郑州.xlsx]主卷!$B$128:$B$134</c:f>
              <c:numCache>
                <c:formatCode>0.00%</c:formatCode>
                <c:ptCount val="7"/>
                <c:pt idx="0">
                  <c:v>0.151</c:v>
                </c:pt>
                <c:pt idx="1">
                  <c:v>0.2345</c:v>
                </c:pt>
                <c:pt idx="2">
                  <c:v>0.3395</c:v>
                </c:pt>
                <c:pt idx="3">
                  <c:v>0.3991</c:v>
                </c:pt>
                <c:pt idx="4">
                  <c:v>0.406</c:v>
                </c:pt>
                <c:pt idx="5">
                  <c:v>0.4227</c:v>
                </c:pt>
                <c:pt idx="6">
                  <c:v>0.6074</c:v>
                </c:pt>
              </c:numCache>
            </c:numRef>
          </c:val>
        </c:ser>
        <c:ser>
          <c:idx val="3"/>
          <c:order val="3"/>
          <c:tx>
            <c:strRef>
              <c:f>[郑州.xlsx]主卷!$E$127</c:f>
              <c:strCache>
                <c:ptCount val="1"/>
                <c:pt idx="0">
                  <c:v>河南占比</c:v>
                </c:pt>
              </c:strCache>
            </c:strRef>
          </c:tx>
          <c:spPr>
            <a:solidFill>
              <a:schemeClr val="accent6"/>
            </a:solidFill>
            <a:ln>
              <a:noFill/>
            </a:ln>
            <a:effectLst/>
          </c:spPr>
          <c:invertIfNegative val="0"/>
          <c:dLbls>
            <c:dLbl>
              <c:idx val="0"/>
              <c:layout>
                <c:manualLayout>
                  <c:x val="-0.00694444444444444"/>
                  <c:y val="-0.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6111111111111"/>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2222222222222"/>
                  <c:y val="-0.0152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52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36111111111111"/>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72222222222222"/>
                  <c:y val="-0.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[郑州.xlsx]主卷!$A$128:$A$134</c:f>
              <c:strCache>
                <c:ptCount val="7"/>
                <c:pt idx="0">
                  <c:v>其他</c:v>
                </c:pt>
                <c:pt idx="1">
                  <c:v>工具链条</c:v>
                </c:pt>
                <c:pt idx="2">
                  <c:v>资金链条</c:v>
                </c:pt>
                <c:pt idx="3">
                  <c:v>流量链条</c:v>
                </c:pt>
                <c:pt idx="4">
                  <c:v>推广链条</c:v>
                </c:pt>
                <c:pt idx="5">
                  <c:v>帐号链条</c:v>
                </c:pt>
                <c:pt idx="6">
                  <c:v>信息链条</c:v>
                </c:pt>
              </c:strCache>
            </c:strRef>
          </c:cat>
          <c:val>
            <c:numRef>
              <c:f>[郑州.xlsx]主卷!$E$128:$E$134</c:f>
              <c:numCache>
                <c:formatCode>0.00%</c:formatCode>
                <c:ptCount val="7"/>
                <c:pt idx="0">
                  <c:v>0.1723</c:v>
                </c:pt>
                <c:pt idx="1">
                  <c:v>0.2312</c:v>
                </c:pt>
                <c:pt idx="2">
                  <c:v>0.3358</c:v>
                </c:pt>
                <c:pt idx="3">
                  <c:v>0.394</c:v>
                </c:pt>
                <c:pt idx="4">
                  <c:v>0.3942</c:v>
                </c:pt>
                <c:pt idx="5">
                  <c:v>0.4333</c:v>
                </c:pt>
                <c:pt idx="6">
                  <c:v>0.6068</c:v>
                </c:pt>
              </c:numCache>
            </c:numRef>
          </c:val>
        </c:ser>
        <c:dLbls>
          <c:showLegendKey val="0"/>
          <c:showVal val="1"/>
          <c:showCatName val="0"/>
          <c:showSerName val="0"/>
          <c:showPercent val="0"/>
          <c:showBubbleSize val="0"/>
        </c:dLbls>
        <c:gapWidth val="182"/>
        <c:axId val="224538761"/>
        <c:axId val="419204525"/>
        <c:extLst>
          <c:ext xmlns:c15="http://schemas.microsoft.com/office/drawing/2012/chart" uri="{02D57815-91ED-43cb-92C2-25804820EDAC}">
            <c15:filteredBarSeries>
              <c15:ser>
                <c:idx val="1"/>
                <c:order val="1"/>
                <c:tx>
                  <c:strRef>
                    <c:extLst>
                      <c:ext uri="{02D57815-91ED-43cb-92C2-25804820EDAC}">
                        <c15:formulaRef>
                          <c15:sqref>[郑州.xlsx]主卷!$C$127</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[郑州.xlsx]主卷!$A$128:$A$134</c15:sqref>
                        </c15:formulaRef>
                      </c:ext>
                    </c:extLst>
                    <c:strCache>
                      <c:ptCount val="7"/>
                      <c:pt idx="0">
                        <c:v>其他</c:v>
                      </c:pt>
                      <c:pt idx="1">
                        <c:v>工具链条</c:v>
                      </c:pt>
                      <c:pt idx="2">
                        <c:v>资金链条</c:v>
                      </c:pt>
                      <c:pt idx="3">
                        <c:v>流量链条</c:v>
                      </c:pt>
                      <c:pt idx="4">
                        <c:v>推广链条</c:v>
                      </c:pt>
                      <c:pt idx="5">
                        <c:v>帐号链条</c:v>
                      </c:pt>
                      <c:pt idx="6">
                        <c:v>信息链条</c:v>
                      </c:pt>
                    </c:strCache>
                  </c:strRef>
                </c:cat>
                <c:val>
                  <c:numRef>
                    <c:extLst>
                      <c:ext uri="{02D57815-91ED-43cb-92C2-25804820EDAC}">
                        <c15:formulaRef>
                          <c15:sqref>{3516,5461,7907,9295,9456,9846,14148}</c15:sqref>
                        </c15:formulaRef>
                      </c:ext>
                    </c:extLst>
                    <c:numCache>
                      <c:formatCode>General</c:formatCode>
                      <c:ptCount val="7"/>
                      <c:pt idx="0">
                        <c:v>3516</c:v>
                      </c:pt>
                      <c:pt idx="1">
                        <c:v>5461</c:v>
                      </c:pt>
                      <c:pt idx="2">
                        <c:v>7907</c:v>
                      </c:pt>
                      <c:pt idx="3">
                        <c:v>9295</c:v>
                      </c:pt>
                      <c:pt idx="4">
                        <c:v>9456</c:v>
                      </c:pt>
                      <c:pt idx="5">
                        <c:v>9846</c:v>
                      </c:pt>
                      <c:pt idx="6">
                        <c:v>14148</c:v>
                      </c:pt>
                    </c:numCache>
                  </c:numRef>
                </c:val>
              </c15:ser>
            </c15:filteredBarSeries>
            <c15:filteredBarSeries>
              <c15:ser>
                <c:idx val="2"/>
                <c:order val="2"/>
                <c:tx>
                  <c:strRef>
                    <c:extLst>
                      <c:ext uri="{02D57815-91ED-43cb-92C2-25804820EDAC}">
                        <c15:formulaRef>
                          <c15:sqref>[郑州.xlsx]主卷!$D$127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[郑州.xlsx]主卷!$A$128:$A$134</c15:sqref>
                        </c15:formulaRef>
                      </c:ext>
                    </c:extLst>
                    <c:strCache>
                      <c:ptCount val="7"/>
                      <c:pt idx="0">
                        <c:v>其他</c:v>
                      </c:pt>
                      <c:pt idx="1">
                        <c:v>工具链条</c:v>
                      </c:pt>
                      <c:pt idx="2">
                        <c:v>资金链条</c:v>
                      </c:pt>
                      <c:pt idx="3">
                        <c:v>流量链条</c:v>
                      </c:pt>
                      <c:pt idx="4">
                        <c:v>推广链条</c:v>
                      </c:pt>
                      <c:pt idx="5">
                        <c:v>帐号链条</c:v>
                      </c:pt>
                      <c:pt idx="6">
                        <c:v>信息链条</c:v>
                      </c:pt>
                    </c:strCache>
                  </c:strRef>
                </c:cat>
                <c:val>
                  <c:numRef>
                    <c:extLst>
                      <c:ext uri="{02D57815-91ED-43cb-92C2-25804820EDAC}">
                        <c15:formulaRef>
                          <c15:sqref>{9586,12866,18688,21923,21933,24113,33764}</c15:sqref>
                        </c15:formulaRef>
                      </c:ext>
                    </c:extLst>
                    <c:numCache>
                      <c:formatCode>General</c:formatCode>
                      <c:ptCount val="7"/>
                      <c:pt idx="0">
                        <c:v>9586</c:v>
                      </c:pt>
                      <c:pt idx="1">
                        <c:v>12866</c:v>
                      </c:pt>
                      <c:pt idx="2">
                        <c:v>18688</c:v>
                      </c:pt>
                      <c:pt idx="3">
                        <c:v>21923</c:v>
                      </c:pt>
                      <c:pt idx="4">
                        <c:v>21933</c:v>
                      </c:pt>
                      <c:pt idx="5">
                        <c:v>24113</c:v>
                      </c:pt>
                      <c:pt idx="6">
                        <c:v>33764</c:v>
                      </c:pt>
                    </c:numCache>
                  </c:numRef>
                </c:val>
              </c15:ser>
            </c15:filteredBarSeries>
          </c:ext>
        </c:extLst>
      </c:barChart>
      <c:catAx>
        <c:axId val="2245387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204525"/>
        <c:crosses val="autoZero"/>
        <c:auto val="1"/>
        <c:lblAlgn val="ctr"/>
        <c:lblOffset val="100"/>
        <c:noMultiLvlLbl val="0"/>
      </c:catAx>
      <c:valAx>
        <c:axId val="4192045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5387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[郑州.xlsx]主卷!$B$138</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[郑州.xlsx]主卷!$A$139:$A$152</c:f>
              <c:strCache>
                <c:ptCount val="14"/>
                <c:pt idx="0">
                  <c:v>其他</c:v>
                </c:pt>
                <c:pt idx="1">
                  <c:v>网络制售毒品、枪支等</c:v>
                </c:pt>
                <c:pt idx="2">
                  <c:v>网络侵权盗版</c:v>
                </c:pt>
                <c:pt idx="3">
                  <c:v>网络攻击和窃密</c:v>
                </c:pt>
                <c:pt idx="4">
                  <c:v>病毒木马</c:v>
                </c:pt>
                <c:pt idx="5">
                  <c:v>网络传销</c:v>
                </c:pt>
                <c:pt idx="6">
                  <c:v>网络支付陷阱与恶意吸费</c:v>
                </c:pt>
                <c:pt idx="7">
                  <c:v>网络赌博</c:v>
                </c:pt>
                <c:pt idx="8">
                  <c:v>网络色情</c:v>
                </c:pt>
                <c:pt idx="9">
                  <c:v>网络谣言与诽谤</c:v>
                </c:pt>
                <c:pt idx="10">
                  <c:v>游戏沉迷</c:v>
                </c:pt>
                <c:pt idx="11">
                  <c:v>网络骚扰</c:v>
                </c:pt>
                <c:pt idx="12">
                  <c:v>网络诈骗</c:v>
                </c:pt>
                <c:pt idx="13">
                  <c:v>信息泄露</c:v>
                </c:pt>
              </c:strCache>
            </c:strRef>
          </c:cat>
          <c:val>
            <c:numRef>
              <c:f>[郑州.xlsx]主卷!$B$139:$B$152</c:f>
              <c:numCache>
                <c:formatCode>0.00%</c:formatCode>
                <c:ptCount val="14"/>
                <c:pt idx="0">
                  <c:v>0.1095</c:v>
                </c:pt>
                <c:pt idx="1">
                  <c:v>0.1655</c:v>
                </c:pt>
                <c:pt idx="2">
                  <c:v>0.2014</c:v>
                </c:pt>
                <c:pt idx="3">
                  <c:v>0.2488</c:v>
                </c:pt>
                <c:pt idx="4">
                  <c:v>0.2981</c:v>
                </c:pt>
                <c:pt idx="5">
                  <c:v>0.3151</c:v>
                </c:pt>
                <c:pt idx="6">
                  <c:v>0.3193</c:v>
                </c:pt>
                <c:pt idx="7">
                  <c:v>0.3847</c:v>
                </c:pt>
                <c:pt idx="8">
                  <c:v>0.3861</c:v>
                </c:pt>
                <c:pt idx="9">
                  <c:v>0.3898</c:v>
                </c:pt>
                <c:pt idx="10">
                  <c:v>0.3938</c:v>
                </c:pt>
                <c:pt idx="11">
                  <c:v>0.5787</c:v>
                </c:pt>
                <c:pt idx="12">
                  <c:v>0.5968</c:v>
                </c:pt>
                <c:pt idx="13">
                  <c:v>0.7226</c:v>
                </c:pt>
              </c:numCache>
            </c:numRef>
          </c:val>
        </c:ser>
        <c:ser>
          <c:idx val="3"/>
          <c:order val="3"/>
          <c:tx>
            <c:strRef>
              <c:f>[郑州.xlsx]主卷!$E$138</c:f>
              <c:strCache>
                <c:ptCount val="1"/>
                <c:pt idx="0">
                  <c:v>河南占比</c:v>
                </c:pt>
              </c:strCache>
            </c:strRef>
          </c:tx>
          <c:spPr>
            <a:solidFill>
              <a:schemeClr val="accent6"/>
            </a:solidFill>
            <a:ln>
              <a:noFill/>
            </a:ln>
            <a:effectLst/>
          </c:spPr>
          <c:invertIfNegative val="0"/>
          <c:dLbls>
            <c:dLbl>
              <c:idx val="0"/>
              <c:layout>
                <c:manualLayout>
                  <c:x val="-0.00458333333333333"/>
                  <c:y val="-0.01762462185979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72222222222222"/>
                  <c:y val="-0.006576351440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2222222222222"/>
                  <c:y val="-0.01315270288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4444444444444"/>
                  <c:y val="-0.01315270288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72222222222222"/>
                  <c:y val="-0.01091674339076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94444444444444"/>
                  <c:y val="-0.006576351440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94444444444444"/>
                  <c:y val="-0.00881231092989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94444444444444"/>
                  <c:y val="-0.01091674339076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694444444444444"/>
                  <c:y val="-0.004340391950545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222222222222222"/>
                  <c:y val="-0.006576351440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36111111111111"/>
                  <c:y val="-0.002104432460870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36111111111111"/>
                  <c:y val="-0.01315270288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58333333333333"/>
                  <c:y val="-0.00868078390109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458333333333333"/>
                  <c:y val="-0.0131527028804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[郑州.xlsx]主卷!$A$139:$A$152</c:f>
              <c:strCache>
                <c:ptCount val="14"/>
                <c:pt idx="0">
                  <c:v>其他</c:v>
                </c:pt>
                <c:pt idx="1">
                  <c:v>网络制售毒品、枪支等</c:v>
                </c:pt>
                <c:pt idx="2">
                  <c:v>网络侵权盗版</c:v>
                </c:pt>
                <c:pt idx="3">
                  <c:v>网络攻击和窃密</c:v>
                </c:pt>
                <c:pt idx="4">
                  <c:v>病毒木马</c:v>
                </c:pt>
                <c:pt idx="5">
                  <c:v>网络传销</c:v>
                </c:pt>
                <c:pt idx="6">
                  <c:v>网络支付陷阱与恶意吸费</c:v>
                </c:pt>
                <c:pt idx="7">
                  <c:v>网络赌博</c:v>
                </c:pt>
                <c:pt idx="8">
                  <c:v>网络色情</c:v>
                </c:pt>
                <c:pt idx="9">
                  <c:v>网络谣言与诽谤</c:v>
                </c:pt>
                <c:pt idx="10">
                  <c:v>游戏沉迷</c:v>
                </c:pt>
                <c:pt idx="11">
                  <c:v>网络骚扰</c:v>
                </c:pt>
                <c:pt idx="12">
                  <c:v>网络诈骗</c:v>
                </c:pt>
                <c:pt idx="13">
                  <c:v>信息泄露</c:v>
                </c:pt>
              </c:strCache>
            </c:strRef>
          </c:cat>
          <c:val>
            <c:numRef>
              <c:f>[郑州.xlsx]主卷!$E$139:$E$152</c:f>
              <c:numCache>
                <c:formatCode>0.00%</c:formatCode>
                <c:ptCount val="14"/>
                <c:pt idx="0">
                  <c:v>0.1234</c:v>
                </c:pt>
                <c:pt idx="1">
                  <c:v>0.1691</c:v>
                </c:pt>
                <c:pt idx="2">
                  <c:v>0.2067</c:v>
                </c:pt>
                <c:pt idx="3">
                  <c:v>0.2498</c:v>
                </c:pt>
                <c:pt idx="4">
                  <c:v>0.3048</c:v>
                </c:pt>
                <c:pt idx="5">
                  <c:v>0.3163</c:v>
                </c:pt>
                <c:pt idx="6">
                  <c:v>0.3228</c:v>
                </c:pt>
                <c:pt idx="7">
                  <c:v>0.378</c:v>
                </c:pt>
                <c:pt idx="8">
                  <c:v>0.3835</c:v>
                </c:pt>
                <c:pt idx="9">
                  <c:v>0.3993</c:v>
                </c:pt>
                <c:pt idx="10">
                  <c:v>0.4345</c:v>
                </c:pt>
                <c:pt idx="11">
                  <c:v>0.5741</c:v>
                </c:pt>
                <c:pt idx="12">
                  <c:v>0.6087</c:v>
                </c:pt>
                <c:pt idx="13">
                  <c:v>0.7098</c:v>
                </c:pt>
              </c:numCache>
            </c:numRef>
          </c:val>
        </c:ser>
        <c:dLbls>
          <c:showLegendKey val="0"/>
          <c:showVal val="1"/>
          <c:showCatName val="0"/>
          <c:showSerName val="0"/>
          <c:showPercent val="0"/>
          <c:showBubbleSize val="0"/>
        </c:dLbls>
        <c:gapWidth val="182"/>
        <c:axId val="641299292"/>
        <c:axId val="500827648"/>
        <c:extLst>
          <c:ext xmlns:c15="http://schemas.microsoft.com/office/drawing/2012/chart" uri="{02D57815-91ED-43cb-92C2-25804820EDAC}">
            <c15:filteredBarSeries>
              <c15:ser>
                <c:idx val="1"/>
                <c:order val="1"/>
                <c:tx>
                  <c:strRef>
                    <c:extLst>
                      <c:ext uri="{02D57815-91ED-43cb-92C2-25804820EDAC}">
                        <c15:formulaRef>
                          <c15:sqref>[郑州.xlsx]主卷!$C$138</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[郑州.xlsx]主卷!$A$139:$A$152</c15:sqref>
                        </c15:formulaRef>
                      </c:ext>
                    </c:extLst>
                    <c:strCache>
                      <c:ptCount val="14"/>
                      <c:pt idx="0">
                        <c:v>其他</c:v>
                      </c:pt>
                      <c:pt idx="1">
                        <c:v>网络制售毒品、枪支等</c:v>
                      </c:pt>
                      <c:pt idx="2">
                        <c:v>网络侵权盗版</c:v>
                      </c:pt>
                      <c:pt idx="3">
                        <c:v>网络攻击和窃密</c:v>
                      </c:pt>
                      <c:pt idx="4">
                        <c:v>病毒木马</c:v>
                      </c:pt>
                      <c:pt idx="5">
                        <c:v>网络传销</c:v>
                      </c:pt>
                      <c:pt idx="6">
                        <c:v>网络支付陷阱与恶意吸费</c:v>
                      </c:pt>
                      <c:pt idx="7">
                        <c:v>网络赌博</c:v>
                      </c:pt>
                      <c:pt idx="8">
                        <c:v>网络色情</c:v>
                      </c:pt>
                      <c:pt idx="9">
                        <c:v>网络谣言与诽谤</c:v>
                      </c:pt>
                      <c:pt idx="10">
                        <c:v>游戏沉迷</c:v>
                      </c:pt>
                      <c:pt idx="11">
                        <c:v>网络骚扰</c:v>
                      </c:pt>
                      <c:pt idx="12">
                        <c:v>网络诈骗</c:v>
                      </c:pt>
                      <c:pt idx="13">
                        <c:v>信息泄露</c:v>
                      </c:pt>
                    </c:strCache>
                  </c:strRef>
                </c:cat>
                <c:val>
                  <c:numRef>
                    <c:extLst>
                      <c:ext uri="{02D57815-91ED-43cb-92C2-25804820EDAC}">
                        <c15:formulaRef>
                          <c15:sqref>{2550,3854,4690,5794,6942,7339,7436,8960,8993,9079,9173,13478,13899,16830}</c15:sqref>
                        </c15:formulaRef>
                      </c:ext>
                    </c:extLst>
                    <c:numCache>
                      <c:formatCode>General</c:formatCode>
                      <c:ptCount val="14"/>
                      <c:pt idx="0">
                        <c:v>2550</c:v>
                      </c:pt>
                      <c:pt idx="1">
                        <c:v>3854</c:v>
                      </c:pt>
                      <c:pt idx="2">
                        <c:v>4690</c:v>
                      </c:pt>
                      <c:pt idx="3">
                        <c:v>5794</c:v>
                      </c:pt>
                      <c:pt idx="4">
                        <c:v>6942</c:v>
                      </c:pt>
                      <c:pt idx="5">
                        <c:v>7339</c:v>
                      </c:pt>
                      <c:pt idx="6">
                        <c:v>7436</c:v>
                      </c:pt>
                      <c:pt idx="7">
                        <c:v>8960</c:v>
                      </c:pt>
                      <c:pt idx="8">
                        <c:v>8993</c:v>
                      </c:pt>
                      <c:pt idx="9">
                        <c:v>9079</c:v>
                      </c:pt>
                      <c:pt idx="10">
                        <c:v>9173</c:v>
                      </c:pt>
                      <c:pt idx="11">
                        <c:v>13478</c:v>
                      </c:pt>
                      <c:pt idx="12">
                        <c:v>13899</c:v>
                      </c:pt>
                      <c:pt idx="13">
                        <c:v>16830</c:v>
                      </c:pt>
                    </c:numCache>
                  </c:numRef>
                </c:val>
              </c15:ser>
            </c15:filteredBarSeries>
            <c15:filteredBarSeries>
              <c15:ser>
                <c:idx val="2"/>
                <c:order val="2"/>
                <c:tx>
                  <c:strRef>
                    <c:extLst>
                      <c:ext uri="{02D57815-91ED-43cb-92C2-25804820EDAC}">
                        <c15:formulaRef>
                          <c15:sqref>[郑州.xlsx]主卷!$D$138</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[郑州.xlsx]主卷!$A$139:$A$152</c15:sqref>
                        </c15:formulaRef>
                      </c:ext>
                    </c:extLst>
                    <c:strCache>
                      <c:ptCount val="14"/>
                      <c:pt idx="0">
                        <c:v>其他</c:v>
                      </c:pt>
                      <c:pt idx="1">
                        <c:v>网络制售毒品、枪支等</c:v>
                      </c:pt>
                      <c:pt idx="2">
                        <c:v>网络侵权盗版</c:v>
                      </c:pt>
                      <c:pt idx="3">
                        <c:v>网络攻击和窃密</c:v>
                      </c:pt>
                      <c:pt idx="4">
                        <c:v>病毒木马</c:v>
                      </c:pt>
                      <c:pt idx="5">
                        <c:v>网络传销</c:v>
                      </c:pt>
                      <c:pt idx="6">
                        <c:v>网络支付陷阱与恶意吸费</c:v>
                      </c:pt>
                      <c:pt idx="7">
                        <c:v>网络赌博</c:v>
                      </c:pt>
                      <c:pt idx="8">
                        <c:v>网络色情</c:v>
                      </c:pt>
                      <c:pt idx="9">
                        <c:v>网络谣言与诽谤</c:v>
                      </c:pt>
                      <c:pt idx="10">
                        <c:v>游戏沉迷</c:v>
                      </c:pt>
                      <c:pt idx="11">
                        <c:v>网络骚扰</c:v>
                      </c:pt>
                      <c:pt idx="12">
                        <c:v>网络诈骗</c:v>
                      </c:pt>
                      <c:pt idx="13">
                        <c:v>信息泄露</c:v>
                      </c:pt>
                    </c:strCache>
                  </c:strRef>
                </c:cat>
                <c:val>
                  <c:numRef>
                    <c:extLst>
                      <c:ext uri="{02D57815-91ED-43cb-92C2-25804820EDAC}">
                        <c15:formulaRef>
                          <c15:sqref>{6865,9411,11503,13899,16962,17600,17963,21036,21342,22222,24179,31949,33874,39499}</c15:sqref>
                        </c15:formulaRef>
                      </c:ext>
                    </c:extLst>
                    <c:numCache>
                      <c:formatCode>General</c:formatCode>
                      <c:ptCount val="14"/>
                      <c:pt idx="0">
                        <c:v>6865</c:v>
                      </c:pt>
                      <c:pt idx="1">
                        <c:v>9411</c:v>
                      </c:pt>
                      <c:pt idx="2">
                        <c:v>11503</c:v>
                      </c:pt>
                      <c:pt idx="3">
                        <c:v>13899</c:v>
                      </c:pt>
                      <c:pt idx="4">
                        <c:v>16962</c:v>
                      </c:pt>
                      <c:pt idx="5">
                        <c:v>17600</c:v>
                      </c:pt>
                      <c:pt idx="6">
                        <c:v>17963</c:v>
                      </c:pt>
                      <c:pt idx="7">
                        <c:v>21036</c:v>
                      </c:pt>
                      <c:pt idx="8">
                        <c:v>21342</c:v>
                      </c:pt>
                      <c:pt idx="9">
                        <c:v>22222</c:v>
                      </c:pt>
                      <c:pt idx="10">
                        <c:v>24179</c:v>
                      </c:pt>
                      <c:pt idx="11">
                        <c:v>31949</c:v>
                      </c:pt>
                      <c:pt idx="12">
                        <c:v>33874</c:v>
                      </c:pt>
                      <c:pt idx="13">
                        <c:v>39499</c:v>
                      </c:pt>
                    </c:numCache>
                  </c:numRef>
                </c:val>
              </c15:ser>
            </c15:filteredBarSeries>
          </c:ext>
        </c:extLst>
      </c:barChart>
      <c:catAx>
        <c:axId val="6412992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0827648"/>
        <c:crosses val="autoZero"/>
        <c:auto val="1"/>
        <c:lblAlgn val="ctr"/>
        <c:lblOffset val="100"/>
        <c:noMultiLvlLbl val="0"/>
      </c:catAx>
      <c:valAx>
        <c:axId val="500827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2992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维护网络安全最需要的措施</a:t>
            </a:r>
          </a:p>
        </c:rich>
      </c:tx>
      <c:layout>
        <c:manualLayout>
          <c:xMode val="edge"/>
          <c:yMode val="edge"/>
          <c:x val="0.363264829518916"/>
          <c:y val="0.0267618198037467"/>
        </c:manualLayout>
      </c:layout>
      <c:overlay val="0"/>
      <c:spPr>
        <a:noFill/>
        <a:ln>
          <a:noFill/>
        </a:ln>
        <a:effectLst/>
      </c:spPr>
    </c:title>
    <c:autoTitleDeleted val="0"/>
    <c:plotArea>
      <c:layout/>
      <c:barChart>
        <c:barDir val="bar"/>
        <c:grouping val="clustered"/>
        <c:varyColors val="0"/>
        <c:ser>
          <c:idx val="0"/>
          <c:order val="0"/>
          <c:tx>
            <c:strRef>
              <c:f>[郑州.xlsx]主卷!$B$156</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[郑州.xlsx]主卷!$A$157:$A$170</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落实网络平台主体责任</c:v>
                </c:pt>
                <c:pt idx="8">
                  <c:v>加强未成年人上网保护</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f>[郑州.xlsx]主卷!$B$157:$B$170</c:f>
              <c:numCache>
                <c:formatCode>0.00%</c:formatCode>
                <c:ptCount val="14"/>
                <c:pt idx="0">
                  <c:v>0.101</c:v>
                </c:pt>
                <c:pt idx="1">
                  <c:v>0.292</c:v>
                </c:pt>
                <c:pt idx="2">
                  <c:v>0.313</c:v>
                </c:pt>
                <c:pt idx="3">
                  <c:v>0.328</c:v>
                </c:pt>
                <c:pt idx="4">
                  <c:v>0.3311</c:v>
                </c:pt>
                <c:pt idx="5">
                  <c:v>0.379</c:v>
                </c:pt>
                <c:pt idx="6">
                  <c:v>0.3908</c:v>
                </c:pt>
                <c:pt idx="7">
                  <c:v>0.4163</c:v>
                </c:pt>
                <c:pt idx="8">
                  <c:v>0.4376</c:v>
                </c:pt>
                <c:pt idx="9">
                  <c:v>0.4515</c:v>
                </c:pt>
                <c:pt idx="10">
                  <c:v>0.4611</c:v>
                </c:pt>
                <c:pt idx="11">
                  <c:v>0.5044</c:v>
                </c:pt>
                <c:pt idx="12">
                  <c:v>0.5675</c:v>
                </c:pt>
                <c:pt idx="13">
                  <c:v>0.7452</c:v>
                </c:pt>
              </c:numCache>
            </c:numRef>
          </c:val>
        </c:ser>
        <c:ser>
          <c:idx val="3"/>
          <c:order val="3"/>
          <c:tx>
            <c:strRef>
              <c:f>[郑州.xlsx]主卷!$E$156</c:f>
              <c:strCache>
                <c:ptCount val="1"/>
                <c:pt idx="0">
                  <c:v>河南占比</c:v>
                </c:pt>
              </c:strCache>
            </c:strRef>
          </c:tx>
          <c:spPr>
            <a:solidFill>
              <a:schemeClr val="accent6"/>
            </a:solidFill>
            <a:ln>
              <a:noFill/>
            </a:ln>
            <a:effectLst/>
          </c:spPr>
          <c:invertIfNegative val="0"/>
          <c:dLbls>
            <c:dLbl>
              <c:idx val="0"/>
              <c:layout>
                <c:manualLayout>
                  <c:x val="-0.00409293367039846"/>
                  <c:y val="-0.0112527114967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0460954446854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09293367039846"/>
                  <c:y val="-0.006778741865509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[郑州.xlsx]主卷!$A$157:$A$170</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落实网络平台主体责任</c:v>
                </c:pt>
                <c:pt idx="8">
                  <c:v>加强未成年人上网保护</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f>[郑州.xlsx]主卷!$E$157:$E$170</c:f>
              <c:numCache>
                <c:formatCode>0.00%</c:formatCode>
                <c:ptCount val="14"/>
                <c:pt idx="0">
                  <c:v>0.1095</c:v>
                </c:pt>
                <c:pt idx="1">
                  <c:v>0.2982</c:v>
                </c:pt>
                <c:pt idx="2">
                  <c:v>0.321</c:v>
                </c:pt>
                <c:pt idx="3">
                  <c:v>0.3434</c:v>
                </c:pt>
                <c:pt idx="4">
                  <c:v>0.3353</c:v>
                </c:pt>
                <c:pt idx="5">
                  <c:v>0.3791</c:v>
                </c:pt>
                <c:pt idx="6">
                  <c:v>0.409</c:v>
                </c:pt>
                <c:pt idx="7">
                  <c:v>0.422</c:v>
                </c:pt>
                <c:pt idx="8">
                  <c:v>0.4661</c:v>
                </c:pt>
                <c:pt idx="9">
                  <c:v>0.4682</c:v>
                </c:pt>
                <c:pt idx="10">
                  <c:v>0.4766</c:v>
                </c:pt>
                <c:pt idx="11">
                  <c:v>0.5149</c:v>
                </c:pt>
                <c:pt idx="12">
                  <c:v>0.5827</c:v>
                </c:pt>
                <c:pt idx="13">
                  <c:v>0.7494</c:v>
                </c:pt>
              </c:numCache>
            </c:numRef>
          </c:val>
        </c:ser>
        <c:dLbls>
          <c:showLegendKey val="0"/>
          <c:showVal val="1"/>
          <c:showCatName val="0"/>
          <c:showSerName val="0"/>
          <c:showPercent val="0"/>
          <c:showBubbleSize val="0"/>
        </c:dLbls>
        <c:gapWidth val="182"/>
        <c:axId val="938586890"/>
        <c:axId val="432773186"/>
        <c:extLst>
          <c:ext xmlns:c15="http://schemas.microsoft.com/office/drawing/2012/chart" uri="{02D57815-91ED-43cb-92C2-25804820EDAC}">
            <c15:filteredBarSeries>
              <c15:ser>
                <c:idx val="1"/>
                <c:order val="1"/>
                <c:tx>
                  <c:strRef>
                    <c:extLst>
                      <c:ext uri="{02D57815-91ED-43cb-92C2-25804820EDAC}">
                        <c15:formulaRef>
                          <c15:sqref>[郑州.xlsx]主卷!$C$156</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[郑州.xlsx]主卷!$A$157:$A$170</c15:sqref>
                        </c15:formulaRef>
                      </c:ext>
                    </c:extLst>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落实网络平台主体责任</c:v>
                      </c:pt>
                      <c:pt idx="8">
                        <c:v>加强未成年人上网保护</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extLst>
                      <c:ext uri="{02D57815-91ED-43cb-92C2-25804820EDAC}">
                        <c15:formulaRef>
                          <c15:sqref>{2353,6802,7289,7639,7712,8828,9102,9696,10191,10516,10739,11749,13217,17356}</c15:sqref>
                        </c15:formulaRef>
                      </c:ext>
                    </c:extLst>
                    <c:numCache>
                      <c:formatCode>General</c:formatCode>
                      <c:ptCount val="14"/>
                      <c:pt idx="0">
                        <c:v>2353</c:v>
                      </c:pt>
                      <c:pt idx="1">
                        <c:v>6802</c:v>
                      </c:pt>
                      <c:pt idx="2">
                        <c:v>7289</c:v>
                      </c:pt>
                      <c:pt idx="3">
                        <c:v>7639</c:v>
                      </c:pt>
                      <c:pt idx="4">
                        <c:v>7712</c:v>
                      </c:pt>
                      <c:pt idx="5">
                        <c:v>8828</c:v>
                      </c:pt>
                      <c:pt idx="6">
                        <c:v>9102</c:v>
                      </c:pt>
                      <c:pt idx="7">
                        <c:v>9696</c:v>
                      </c:pt>
                      <c:pt idx="8">
                        <c:v>10191</c:v>
                      </c:pt>
                      <c:pt idx="9">
                        <c:v>10516</c:v>
                      </c:pt>
                      <c:pt idx="10">
                        <c:v>10739</c:v>
                      </c:pt>
                      <c:pt idx="11">
                        <c:v>11749</c:v>
                      </c:pt>
                      <c:pt idx="12">
                        <c:v>13217</c:v>
                      </c:pt>
                      <c:pt idx="13">
                        <c:v>17356</c:v>
                      </c:pt>
                    </c:numCache>
                  </c:numRef>
                </c:val>
              </c15:ser>
            </c15:filteredBarSeries>
            <c15:filteredBarSeries>
              <c15:ser>
                <c:idx val="2"/>
                <c:order val="2"/>
                <c:tx>
                  <c:strRef>
                    <c:extLst>
                      <c:ext uri="{02D57815-91ED-43cb-92C2-25804820EDAC}">
                        <c15:formulaRef>
                          <c15:sqref>[郑州.xlsx]主卷!$D$156</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[郑州.xlsx]主卷!$A$157:$A$170</c15:sqref>
                        </c15:formulaRef>
                      </c:ext>
                    </c:extLst>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落实网络平台主体责任</c:v>
                      </c:pt>
                      <c:pt idx="8">
                        <c:v>加强未成年人上网保护</c:v>
                      </c:pt>
                      <c:pt idx="9">
                        <c:v>严厉打击网络违法犯罪行为</c:v>
                      </c:pt>
                      <c:pt idx="10">
                        <c:v>提升网络安全问题的发现能力</c:v>
                      </c:pt>
                      <c:pt idx="11">
                        <c:v>贯彻落实网络安全等级保护制度</c:v>
                      </c:pt>
                      <c:pt idx="12">
                        <c:v>强化网络安全监管</c:v>
                      </c:pt>
                      <c:pt idx="13">
                        <c:v>加强网络安全法制建设</c:v>
                      </c:pt>
                    </c:strCache>
                  </c:strRef>
                </c:cat>
                <c:val>
                  <c:numRef>
                    <c:extLst>
                      <c:ext uri="{02D57815-91ED-43cb-92C2-25804820EDAC}">
                        <c15:formulaRef>
                          <c15:sqref>{6091,16591,17864,19107,18657,21097,22758,23483,25938,26052,26522,28653,32427,41699}</c15:sqref>
                        </c15:formulaRef>
                      </c:ext>
                    </c:extLst>
                    <c:numCache>
                      <c:formatCode>General</c:formatCode>
                      <c:ptCount val="14"/>
                      <c:pt idx="0">
                        <c:v>6091</c:v>
                      </c:pt>
                      <c:pt idx="1">
                        <c:v>16591</c:v>
                      </c:pt>
                      <c:pt idx="2">
                        <c:v>17864</c:v>
                      </c:pt>
                      <c:pt idx="3">
                        <c:v>19107</c:v>
                      </c:pt>
                      <c:pt idx="4">
                        <c:v>18657</c:v>
                      </c:pt>
                      <c:pt idx="5">
                        <c:v>21097</c:v>
                      </c:pt>
                      <c:pt idx="6">
                        <c:v>22758</c:v>
                      </c:pt>
                      <c:pt idx="7">
                        <c:v>23483</c:v>
                      </c:pt>
                      <c:pt idx="8">
                        <c:v>25938</c:v>
                      </c:pt>
                      <c:pt idx="9">
                        <c:v>26052</c:v>
                      </c:pt>
                      <c:pt idx="10">
                        <c:v>26522</c:v>
                      </c:pt>
                      <c:pt idx="11">
                        <c:v>28653</c:v>
                      </c:pt>
                      <c:pt idx="12">
                        <c:v>32427</c:v>
                      </c:pt>
                      <c:pt idx="13">
                        <c:v>41699</c:v>
                      </c:pt>
                    </c:numCache>
                  </c:numRef>
                </c:val>
              </c15:ser>
            </c15:filteredBarSeries>
          </c:ext>
        </c:extLst>
      </c:barChart>
      <c:catAx>
        <c:axId val="9385868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773186"/>
        <c:crosses val="autoZero"/>
        <c:auto val="1"/>
        <c:lblAlgn val="ctr"/>
        <c:lblOffset val="100"/>
        <c:noMultiLvlLbl val="0"/>
      </c:catAx>
      <c:valAx>
        <c:axId val="4327731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58689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[郑州.xlsx]主卷!$B$174</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[郑州.xlsx]主卷!$A$175:$A$188</c:f>
              <c:strCache>
                <c:ptCount val="14"/>
                <c:pt idx="0">
                  <c:v>其他</c:v>
                </c:pt>
                <c:pt idx="1">
                  <c:v>人工智能管理</c:v>
                </c:pt>
                <c:pt idx="2">
                  <c:v>网络信息内容治理</c:v>
                </c:pt>
                <c:pt idx="3">
                  <c:v>网络黑灰产业治理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f>[郑州.xlsx]主卷!$B$175:$B$188</c:f>
              <c:numCache>
                <c:formatCode>0.00%</c:formatCode>
                <c:ptCount val="14"/>
                <c:pt idx="0">
                  <c:v>0.1103</c:v>
                </c:pt>
                <c:pt idx="1">
                  <c:v>0.2151</c:v>
                </c:pt>
                <c:pt idx="2">
                  <c:v>0.2468</c:v>
                </c:pt>
                <c:pt idx="3">
                  <c:v>0.2487</c:v>
                </c:pt>
                <c:pt idx="4">
                  <c:v>0.2489</c:v>
                </c:pt>
                <c:pt idx="5">
                  <c:v>0.2509</c:v>
                </c:pt>
                <c:pt idx="6">
                  <c:v>0.2923</c:v>
                </c:pt>
                <c:pt idx="7">
                  <c:v>0.319</c:v>
                </c:pt>
                <c:pt idx="8">
                  <c:v>0.3744</c:v>
                </c:pt>
                <c:pt idx="9">
                  <c:v>0.3814</c:v>
                </c:pt>
                <c:pt idx="10">
                  <c:v>0.3821</c:v>
                </c:pt>
                <c:pt idx="11">
                  <c:v>0.4339</c:v>
                </c:pt>
                <c:pt idx="12">
                  <c:v>0.572</c:v>
                </c:pt>
                <c:pt idx="13">
                  <c:v>0.678</c:v>
                </c:pt>
              </c:numCache>
            </c:numRef>
          </c:val>
        </c:ser>
        <c:ser>
          <c:idx val="3"/>
          <c:order val="3"/>
          <c:tx>
            <c:strRef>
              <c:f>[郑州.xlsx]主卷!$E$174</c:f>
              <c:strCache>
                <c:ptCount val="1"/>
                <c:pt idx="0">
                  <c:v>河南占比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[郑州.xlsx]主卷!$A$175:$A$188</c:f>
              <c:strCache>
                <c:ptCount val="14"/>
                <c:pt idx="0">
                  <c:v>其他</c:v>
                </c:pt>
                <c:pt idx="1">
                  <c:v>人工智能管理</c:v>
                </c:pt>
                <c:pt idx="2">
                  <c:v>网络信息内容治理</c:v>
                </c:pt>
                <c:pt idx="3">
                  <c:v>网络黑灰产业治理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f>[郑州.xlsx]主卷!$E$175:$E$188</c:f>
              <c:numCache>
                <c:formatCode>0.00%</c:formatCode>
                <c:ptCount val="14"/>
                <c:pt idx="0">
                  <c:v>0.1207</c:v>
                </c:pt>
                <c:pt idx="1">
                  <c:v>0.2161</c:v>
                </c:pt>
                <c:pt idx="2">
                  <c:v>0.2517</c:v>
                </c:pt>
                <c:pt idx="3">
                  <c:v>0.246</c:v>
                </c:pt>
                <c:pt idx="4">
                  <c:v>0.2446</c:v>
                </c:pt>
                <c:pt idx="5">
                  <c:v>0.2529</c:v>
                </c:pt>
                <c:pt idx="6">
                  <c:v>0.3023</c:v>
                </c:pt>
                <c:pt idx="7">
                  <c:v>0.3212</c:v>
                </c:pt>
                <c:pt idx="8">
                  <c:v>0.379</c:v>
                </c:pt>
                <c:pt idx="9">
                  <c:v>0.3918</c:v>
                </c:pt>
                <c:pt idx="10">
                  <c:v>0.3957</c:v>
                </c:pt>
                <c:pt idx="11">
                  <c:v>0.463</c:v>
                </c:pt>
                <c:pt idx="12">
                  <c:v>0.5579</c:v>
                </c:pt>
                <c:pt idx="13">
                  <c:v>0.6905</c:v>
                </c:pt>
              </c:numCache>
            </c:numRef>
          </c:val>
        </c:ser>
        <c:dLbls>
          <c:showLegendKey val="0"/>
          <c:showVal val="1"/>
          <c:showCatName val="0"/>
          <c:showSerName val="0"/>
          <c:showPercent val="0"/>
          <c:showBubbleSize val="0"/>
        </c:dLbls>
        <c:gapWidth val="182"/>
        <c:axId val="453106394"/>
        <c:axId val="272715370"/>
        <c:extLst>
          <c:ext xmlns:c15="http://schemas.microsoft.com/office/drawing/2012/chart" uri="{02D57815-91ED-43cb-92C2-25804820EDAC}">
            <c15:filteredBarSeries>
              <c15:ser>
                <c:idx val="1"/>
                <c:order val="1"/>
                <c:tx>
                  <c:strRef>
                    <c:extLst>
                      <c:ext uri="{02D57815-91ED-43cb-92C2-25804820EDAC}">
                        <c15:formulaRef>
                          <c15:sqref>[郑州.xlsx]主卷!$C$174</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[郑州.xlsx]主卷!$A$175:$A$188</c15:sqref>
                        </c15:formulaRef>
                      </c:ext>
                    </c:extLst>
                    <c:strCache>
                      <c:ptCount val="14"/>
                      <c:pt idx="0">
                        <c:v>其他</c:v>
                      </c:pt>
                      <c:pt idx="1">
                        <c:v>人工智能管理</c:v>
                      </c:pt>
                      <c:pt idx="2">
                        <c:v>网络信息内容治理</c:v>
                      </c:pt>
                      <c:pt idx="3">
                        <c:v>网络黑灰产业治理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extLst>
                      <c:ext uri="{02D57815-91ED-43cb-92C2-25804820EDAC}">
                        <c15:formulaRef>
                          <c15:sqref>{2569,5010,5749,5793,5797,5844,6808,7430,8721,8883,8899,10105,13323,15792}</c15:sqref>
                        </c15:formulaRef>
                      </c:ext>
                    </c:extLst>
                    <c:numCache>
                      <c:formatCode>General</c:formatCode>
                      <c:ptCount val="14"/>
                      <c:pt idx="0">
                        <c:v>2569</c:v>
                      </c:pt>
                      <c:pt idx="1">
                        <c:v>5010</c:v>
                      </c:pt>
                      <c:pt idx="2">
                        <c:v>5749</c:v>
                      </c:pt>
                      <c:pt idx="3">
                        <c:v>5793</c:v>
                      </c:pt>
                      <c:pt idx="4">
                        <c:v>5797</c:v>
                      </c:pt>
                      <c:pt idx="5">
                        <c:v>5844</c:v>
                      </c:pt>
                      <c:pt idx="6">
                        <c:v>6808</c:v>
                      </c:pt>
                      <c:pt idx="7">
                        <c:v>7430</c:v>
                      </c:pt>
                      <c:pt idx="8">
                        <c:v>8721</c:v>
                      </c:pt>
                      <c:pt idx="9">
                        <c:v>8883</c:v>
                      </c:pt>
                      <c:pt idx="10">
                        <c:v>8899</c:v>
                      </c:pt>
                      <c:pt idx="11">
                        <c:v>10105</c:v>
                      </c:pt>
                      <c:pt idx="12">
                        <c:v>13323</c:v>
                      </c:pt>
                      <c:pt idx="13">
                        <c:v>15792</c:v>
                      </c:pt>
                    </c:numCache>
                  </c:numRef>
                </c:val>
              </c15:ser>
            </c15:filteredBarSeries>
            <c15:filteredBarSeries>
              <c15:ser>
                <c:idx val="2"/>
                <c:order val="2"/>
                <c:tx>
                  <c:strRef>
                    <c:extLst>
                      <c:ext uri="{02D57815-91ED-43cb-92C2-25804820EDAC}">
                        <c15:formulaRef>
                          <c15:sqref>[郑州.xlsx]主卷!$D$174</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[郑州.xlsx]主卷!$A$175:$A$188</c15:sqref>
                        </c15:formulaRef>
                      </c:ext>
                    </c:extLst>
                    <c:strCache>
                      <c:ptCount val="14"/>
                      <c:pt idx="0">
                        <c:v>其他</c:v>
                      </c:pt>
                      <c:pt idx="1">
                        <c:v>人工智能管理</c:v>
                      </c:pt>
                      <c:pt idx="2">
                        <c:v>网络信息内容治理</c:v>
                      </c:pt>
                      <c:pt idx="3">
                        <c:v>网络黑灰产业治理</c:v>
                      </c:pt>
                      <c:pt idx="4">
                        <c:v>数据权利的民事立法</c:v>
                      </c:pt>
                      <c:pt idx="5">
                        <c:v>网络安全从业人员管理</c:v>
                      </c:pt>
                      <c:pt idx="6">
                        <c:v>数据安全保护</c:v>
                      </c:pt>
                      <c:pt idx="7">
                        <c:v>关键信息基础设施保护</c:v>
                      </c:pt>
                      <c:pt idx="8">
                        <c:v>网络安全各领域监管</c:v>
                      </c:pt>
                      <c:pt idx="9">
                        <c:v>网络违法犯罪防治</c:v>
                      </c:pt>
                      <c:pt idx="10">
                        <c:v>网络安全等级保护</c:v>
                      </c:pt>
                      <c:pt idx="11">
                        <c:v>未成年人上网保护</c:v>
                      </c:pt>
                      <c:pt idx="12">
                        <c:v>网络平台责任</c:v>
                      </c:pt>
                      <c:pt idx="13">
                        <c:v>个人信息保护</c:v>
                      </c:pt>
                    </c:strCache>
                  </c:strRef>
                </c:cat>
                <c:val>
                  <c:numRef>
                    <c:extLst>
                      <c:ext uri="{02D57815-91ED-43cb-92C2-25804820EDAC}">
                        <c15:formulaRef>
                          <c15:sqref>{6715,12025,14007,13690,13612,14075,16821,17872,21092,21802,22018,25762,31043,38422}</c15:sqref>
                        </c15:formulaRef>
                      </c:ext>
                    </c:extLst>
                    <c:numCache>
                      <c:formatCode>General</c:formatCode>
                      <c:ptCount val="14"/>
                      <c:pt idx="0">
                        <c:v>6715</c:v>
                      </c:pt>
                      <c:pt idx="1">
                        <c:v>12025</c:v>
                      </c:pt>
                      <c:pt idx="2">
                        <c:v>14007</c:v>
                      </c:pt>
                      <c:pt idx="3">
                        <c:v>13690</c:v>
                      </c:pt>
                      <c:pt idx="4">
                        <c:v>13612</c:v>
                      </c:pt>
                      <c:pt idx="5">
                        <c:v>14075</c:v>
                      </c:pt>
                      <c:pt idx="6">
                        <c:v>16821</c:v>
                      </c:pt>
                      <c:pt idx="7">
                        <c:v>17872</c:v>
                      </c:pt>
                      <c:pt idx="8">
                        <c:v>21092</c:v>
                      </c:pt>
                      <c:pt idx="9">
                        <c:v>21802</c:v>
                      </c:pt>
                      <c:pt idx="10">
                        <c:v>22018</c:v>
                      </c:pt>
                      <c:pt idx="11">
                        <c:v>25762</c:v>
                      </c:pt>
                      <c:pt idx="12">
                        <c:v>31043</c:v>
                      </c:pt>
                      <c:pt idx="13">
                        <c:v>38422</c:v>
                      </c:pt>
                    </c:numCache>
                  </c:numRef>
                </c:val>
              </c15:ser>
            </c15:filteredBarSeries>
          </c:ext>
        </c:extLst>
      </c:barChart>
      <c:catAx>
        <c:axId val="4531063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715370"/>
        <c:crosses val="autoZero"/>
        <c:auto val="1"/>
        <c:lblAlgn val="ctr"/>
        <c:lblOffset val="100"/>
        <c:noMultiLvlLbl val="0"/>
      </c:catAx>
      <c:valAx>
        <c:axId val="2727153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1063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barChart>
        <c:barDir val="bar"/>
        <c:grouping val="clustered"/>
        <c:varyColors val="0"/>
        <c:ser>
          <c:idx val="0"/>
          <c:order val="0"/>
          <c:tx>
            <c:strRef>
              <c:f>[郑州.xlsx]主卷!$B$192</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[郑州.xlsx]主卷!$A$193:$A$203</c:f>
              <c:strCache>
                <c:ptCount val="11"/>
                <c:pt idx="0">
                  <c:v>其他</c:v>
                </c:pt>
                <c:pt idx="1">
                  <c:v>文化</c:v>
                </c:pt>
                <c:pt idx="2">
                  <c:v>教育</c:v>
                </c:pt>
                <c:pt idx="3">
                  <c:v>广电</c:v>
                </c:pt>
                <c:pt idx="4">
                  <c:v>密码</c:v>
                </c:pt>
                <c:pt idx="5">
                  <c:v>市场监管</c:v>
                </c:pt>
                <c:pt idx="6">
                  <c:v>保密</c:v>
                </c:pt>
                <c:pt idx="7">
                  <c:v>工信</c:v>
                </c:pt>
                <c:pt idx="8">
                  <c:v>国安</c:v>
                </c:pt>
                <c:pt idx="9">
                  <c:v>公安</c:v>
                </c:pt>
                <c:pt idx="10">
                  <c:v>网信</c:v>
                </c:pt>
              </c:strCache>
            </c:strRef>
          </c:cat>
          <c:val>
            <c:numRef>
              <c:f>[郑州.xlsx]主卷!$B$193:$B$203</c:f>
              <c:numCache>
                <c:formatCode>0.00%</c:formatCode>
                <c:ptCount val="11"/>
                <c:pt idx="0">
                  <c:v>0.1062</c:v>
                </c:pt>
                <c:pt idx="1">
                  <c:v>0.1715</c:v>
                </c:pt>
                <c:pt idx="2">
                  <c:v>0.1961</c:v>
                </c:pt>
                <c:pt idx="3">
                  <c:v>0.2001</c:v>
                </c:pt>
                <c:pt idx="4">
                  <c:v>0.2072</c:v>
                </c:pt>
                <c:pt idx="5">
                  <c:v>0.2487</c:v>
                </c:pt>
                <c:pt idx="6">
                  <c:v>0.2742</c:v>
                </c:pt>
                <c:pt idx="7">
                  <c:v>0.3501</c:v>
                </c:pt>
                <c:pt idx="8">
                  <c:v>0.3644</c:v>
                </c:pt>
                <c:pt idx="9">
                  <c:v>0.6424</c:v>
                </c:pt>
                <c:pt idx="10">
                  <c:v>0.659</c:v>
                </c:pt>
              </c:numCache>
            </c:numRef>
          </c:val>
        </c:ser>
        <c:ser>
          <c:idx val="3"/>
          <c:order val="3"/>
          <c:tx>
            <c:strRef>
              <c:f>[郑州.xlsx]主卷!$E$192</c:f>
              <c:strCache>
                <c:ptCount val="1"/>
                <c:pt idx="0">
                  <c:v>河南占比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[郑州.xlsx]主卷!$A$193:$A$203</c:f>
              <c:strCache>
                <c:ptCount val="11"/>
                <c:pt idx="0">
                  <c:v>其他</c:v>
                </c:pt>
                <c:pt idx="1">
                  <c:v>文化</c:v>
                </c:pt>
                <c:pt idx="2">
                  <c:v>教育</c:v>
                </c:pt>
                <c:pt idx="3">
                  <c:v>广电</c:v>
                </c:pt>
                <c:pt idx="4">
                  <c:v>密码</c:v>
                </c:pt>
                <c:pt idx="5">
                  <c:v>市场监管</c:v>
                </c:pt>
                <c:pt idx="6">
                  <c:v>保密</c:v>
                </c:pt>
                <c:pt idx="7">
                  <c:v>工信</c:v>
                </c:pt>
                <c:pt idx="8">
                  <c:v>国安</c:v>
                </c:pt>
                <c:pt idx="9">
                  <c:v>公安</c:v>
                </c:pt>
                <c:pt idx="10">
                  <c:v>网信</c:v>
                </c:pt>
              </c:strCache>
            </c:strRef>
          </c:cat>
          <c:val>
            <c:numRef>
              <c:f>[郑州.xlsx]主卷!$E$193:$E$203</c:f>
              <c:numCache>
                <c:formatCode>0.00%</c:formatCode>
                <c:ptCount val="11"/>
                <c:pt idx="0">
                  <c:v>0.1159</c:v>
                </c:pt>
                <c:pt idx="1">
                  <c:v>0.1768</c:v>
                </c:pt>
                <c:pt idx="2">
                  <c:v>0.2173</c:v>
                </c:pt>
                <c:pt idx="3">
                  <c:v>0.2004</c:v>
                </c:pt>
                <c:pt idx="4">
                  <c:v>0.2224</c:v>
                </c:pt>
                <c:pt idx="5">
                  <c:v>0.2576</c:v>
                </c:pt>
                <c:pt idx="6">
                  <c:v>0.2822</c:v>
                </c:pt>
                <c:pt idx="7">
                  <c:v>0.3273</c:v>
                </c:pt>
                <c:pt idx="8">
                  <c:v>0.3493</c:v>
                </c:pt>
                <c:pt idx="9">
                  <c:v>0.6398</c:v>
                </c:pt>
                <c:pt idx="10">
                  <c:v>0.6511</c:v>
                </c:pt>
              </c:numCache>
            </c:numRef>
          </c:val>
        </c:ser>
        <c:dLbls>
          <c:showLegendKey val="0"/>
          <c:showVal val="1"/>
          <c:showCatName val="0"/>
          <c:showSerName val="0"/>
          <c:showPercent val="0"/>
          <c:showBubbleSize val="0"/>
        </c:dLbls>
        <c:gapWidth val="182"/>
        <c:axId val="383902532"/>
        <c:axId val="521707384"/>
        <c:extLst>
          <c:ext xmlns:c15="http://schemas.microsoft.com/office/drawing/2012/chart" uri="{02D57815-91ED-43cb-92C2-25804820EDAC}">
            <c15:filteredBarSeries>
              <c15:ser>
                <c:idx val="1"/>
                <c:order val="1"/>
                <c:tx>
                  <c:strRef>
                    <c:extLst>
                      <c:ext uri="{02D57815-91ED-43cb-92C2-25804820EDAC}">
                        <c15:formulaRef>
                          <c15:sqref>[郑州.xlsx]主卷!$C$192</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[郑州.xlsx]主卷!$A$193:$A$203</c15:sqref>
                        </c15:formulaRef>
                      </c:ext>
                    </c:extLst>
                    <c:strCache>
                      <c:ptCount val="11"/>
                      <c:pt idx="0">
                        <c:v>其他</c:v>
                      </c:pt>
                      <c:pt idx="1">
                        <c:v>文化</c:v>
                      </c:pt>
                      <c:pt idx="2">
                        <c:v>教育</c:v>
                      </c:pt>
                      <c:pt idx="3">
                        <c:v>广电</c:v>
                      </c:pt>
                      <c:pt idx="4">
                        <c:v>密码</c:v>
                      </c:pt>
                      <c:pt idx="5">
                        <c:v>市场监管</c:v>
                      </c:pt>
                      <c:pt idx="6">
                        <c:v>保密</c:v>
                      </c:pt>
                      <c:pt idx="7">
                        <c:v>工信</c:v>
                      </c:pt>
                      <c:pt idx="8">
                        <c:v>国安</c:v>
                      </c:pt>
                      <c:pt idx="9">
                        <c:v>公安</c:v>
                      </c:pt>
                      <c:pt idx="10">
                        <c:v>网信</c:v>
                      </c:pt>
                    </c:strCache>
                  </c:strRef>
                </c:cat>
                <c:val>
                  <c:numRef>
                    <c:extLst>
                      <c:ext uri="{02D57815-91ED-43cb-92C2-25804820EDAC}">
                        <c15:formulaRef>
                          <c15:sqref>{2473,3995,4567,4661,4827,5792,6386,8154,8487,14961,15348}</c15:sqref>
                        </c15:formulaRef>
                      </c:ext>
                    </c:extLst>
                    <c:numCache>
                      <c:formatCode>General</c:formatCode>
                      <c:ptCount val="11"/>
                      <c:pt idx="0">
                        <c:v>2473</c:v>
                      </c:pt>
                      <c:pt idx="1">
                        <c:v>3995</c:v>
                      </c:pt>
                      <c:pt idx="2">
                        <c:v>4567</c:v>
                      </c:pt>
                      <c:pt idx="3">
                        <c:v>4661</c:v>
                      </c:pt>
                      <c:pt idx="4">
                        <c:v>4827</c:v>
                      </c:pt>
                      <c:pt idx="5">
                        <c:v>5792</c:v>
                      </c:pt>
                      <c:pt idx="6">
                        <c:v>6386</c:v>
                      </c:pt>
                      <c:pt idx="7">
                        <c:v>8154</c:v>
                      </c:pt>
                      <c:pt idx="8">
                        <c:v>8487</c:v>
                      </c:pt>
                      <c:pt idx="9">
                        <c:v>14961</c:v>
                      </c:pt>
                      <c:pt idx="10">
                        <c:v>15348</c:v>
                      </c:pt>
                    </c:numCache>
                  </c:numRef>
                </c:val>
              </c15:ser>
            </c15:filteredBarSeries>
            <c15:filteredBarSeries>
              <c15:ser>
                <c:idx val="2"/>
                <c:order val="2"/>
                <c:tx>
                  <c:strRef>
                    <c:extLst>
                      <c:ext uri="{02D57815-91ED-43cb-92C2-25804820EDAC}">
                        <c15:formulaRef>
                          <c15:sqref>[郑州.xlsx]主卷!$D$192</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[郑州.xlsx]主卷!$A$193:$A$203</c15:sqref>
                        </c15:formulaRef>
                      </c:ext>
                    </c:extLst>
                    <c:strCache>
                      <c:ptCount val="11"/>
                      <c:pt idx="0">
                        <c:v>其他</c:v>
                      </c:pt>
                      <c:pt idx="1">
                        <c:v>文化</c:v>
                      </c:pt>
                      <c:pt idx="2">
                        <c:v>教育</c:v>
                      </c:pt>
                      <c:pt idx="3">
                        <c:v>广电</c:v>
                      </c:pt>
                      <c:pt idx="4">
                        <c:v>密码</c:v>
                      </c:pt>
                      <c:pt idx="5">
                        <c:v>市场监管</c:v>
                      </c:pt>
                      <c:pt idx="6">
                        <c:v>保密</c:v>
                      </c:pt>
                      <c:pt idx="7">
                        <c:v>工信</c:v>
                      </c:pt>
                      <c:pt idx="8">
                        <c:v>国安</c:v>
                      </c:pt>
                      <c:pt idx="9">
                        <c:v>公安</c:v>
                      </c:pt>
                      <c:pt idx="10">
                        <c:v>网信</c:v>
                      </c:pt>
                    </c:strCache>
                  </c:strRef>
                </c:cat>
                <c:val>
                  <c:numRef>
                    <c:extLst>
                      <c:ext uri="{02D57815-91ED-43cb-92C2-25804820EDAC}">
                        <c15:formulaRef>
                          <c15:sqref>{6450,9839,12090,11154,12373,14332,15701,18215,19436,35604,36233}</c15:sqref>
                        </c15:formulaRef>
                      </c:ext>
                    </c:extLst>
                    <c:numCache>
                      <c:formatCode>General</c:formatCode>
                      <c:ptCount val="11"/>
                      <c:pt idx="0">
                        <c:v>6450</c:v>
                      </c:pt>
                      <c:pt idx="1">
                        <c:v>9839</c:v>
                      </c:pt>
                      <c:pt idx="2">
                        <c:v>12090</c:v>
                      </c:pt>
                      <c:pt idx="3">
                        <c:v>11154</c:v>
                      </c:pt>
                      <c:pt idx="4">
                        <c:v>12373</c:v>
                      </c:pt>
                      <c:pt idx="5">
                        <c:v>14332</c:v>
                      </c:pt>
                      <c:pt idx="6">
                        <c:v>15701</c:v>
                      </c:pt>
                      <c:pt idx="7">
                        <c:v>18215</c:v>
                      </c:pt>
                      <c:pt idx="8">
                        <c:v>19436</c:v>
                      </c:pt>
                      <c:pt idx="9">
                        <c:v>35604</c:v>
                      </c:pt>
                      <c:pt idx="10">
                        <c:v>36233</c:v>
                      </c:pt>
                    </c:numCache>
                  </c:numRef>
                </c:val>
              </c15:ser>
            </c15:filteredBarSeries>
          </c:ext>
        </c:extLst>
      </c:barChart>
      <c:catAx>
        <c:axId val="3839025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707384"/>
        <c:crosses val="autoZero"/>
        <c:auto val="1"/>
        <c:lblAlgn val="ctr"/>
        <c:lblOffset val="100"/>
        <c:noMultiLvlLbl val="0"/>
      </c:catAx>
      <c:valAx>
        <c:axId val="521707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39025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[郑州.xlsx]主卷!$B$207</c:f>
              <c:strCache>
                <c:ptCount val="1"/>
                <c:pt idx="0">
                  <c:v>郑州占比</c:v>
                </c:pt>
              </c:strCache>
            </c:strRef>
          </c:tx>
          <c:spPr>
            <a:solidFill>
              <a:schemeClr val="accent1"/>
            </a:solidFill>
            <a:ln>
              <a:noFill/>
            </a:ln>
            <a:effectLst/>
          </c:spPr>
          <c:invertIfNegative val="0"/>
          <c:dLbls>
            <c:dLbl>
              <c:idx val="2"/>
              <c:layout>
                <c:manualLayout>
                  <c:x val="-0.0186111111111111"/>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[郑州.xlsx]主卷!$A$208:$A$212</c:f>
              <c:strCache>
                <c:ptCount val="5"/>
                <c:pt idx="0">
                  <c:v>非常强</c:v>
                </c:pt>
                <c:pt idx="1">
                  <c:v>比较强</c:v>
                </c:pt>
                <c:pt idx="2">
                  <c:v>一般</c:v>
                </c:pt>
                <c:pt idx="3">
                  <c:v>比较不足</c:v>
                </c:pt>
                <c:pt idx="4">
                  <c:v>严重不足</c:v>
                </c:pt>
              </c:strCache>
            </c:strRef>
          </c:cat>
          <c:val>
            <c:numRef>
              <c:f>[郑州.xlsx]主卷!$B$208:$B$212</c:f>
              <c:numCache>
                <c:formatCode>0.00%</c:formatCode>
                <c:ptCount val="5"/>
                <c:pt idx="0">
                  <c:v>0.2141</c:v>
                </c:pt>
                <c:pt idx="1">
                  <c:v>0.3484</c:v>
                </c:pt>
                <c:pt idx="2">
                  <c:v>0.3697</c:v>
                </c:pt>
                <c:pt idx="3">
                  <c:v>0.0404</c:v>
                </c:pt>
                <c:pt idx="4">
                  <c:v>0.0274</c:v>
                </c:pt>
              </c:numCache>
            </c:numRef>
          </c:val>
        </c:ser>
        <c:ser>
          <c:idx val="3"/>
          <c:order val="3"/>
          <c:tx>
            <c:strRef>
              <c:f>[郑州.xlsx]主卷!$E$207</c:f>
              <c:strCache>
                <c:ptCount val="1"/>
                <c:pt idx="0">
                  <c:v>河南占比</c:v>
                </c:pt>
              </c:strCache>
            </c:strRef>
          </c:tx>
          <c:spPr>
            <a:solidFill>
              <a:schemeClr val="accent6"/>
            </a:solidFill>
            <a:ln>
              <a:noFill/>
            </a:ln>
            <a:effectLst/>
          </c:spPr>
          <c:invertIfNegative val="0"/>
          <c:dLbls>
            <c:dLbl>
              <c:idx val="0"/>
              <c:layout>
                <c:manualLayout>
                  <c:x val="0.0138888888888889"/>
                  <c:y val="0.02708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0555555555556"/>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1944444444444"/>
                  <c:y val="0.0152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4722222222222"/>
                  <c:y val="0.01550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[郑州.xlsx]主卷!$A$208:$A$212</c:f>
              <c:strCache>
                <c:ptCount val="5"/>
                <c:pt idx="0">
                  <c:v>非常强</c:v>
                </c:pt>
                <c:pt idx="1">
                  <c:v>比较强</c:v>
                </c:pt>
                <c:pt idx="2">
                  <c:v>一般</c:v>
                </c:pt>
                <c:pt idx="3">
                  <c:v>比较不足</c:v>
                </c:pt>
                <c:pt idx="4">
                  <c:v>严重不足</c:v>
                </c:pt>
              </c:strCache>
            </c:strRef>
          </c:cat>
          <c:val>
            <c:numRef>
              <c:f>[郑州.xlsx]主卷!$E$208:$E$212</c:f>
              <c:numCache>
                <c:formatCode>0.00%</c:formatCode>
                <c:ptCount val="5"/>
                <c:pt idx="0">
                  <c:v>0.2066</c:v>
                </c:pt>
                <c:pt idx="1">
                  <c:v>0.3439</c:v>
                </c:pt>
                <c:pt idx="2">
                  <c:v>0.3832</c:v>
                </c:pt>
                <c:pt idx="3">
                  <c:v>0.0413</c:v>
                </c:pt>
                <c:pt idx="4">
                  <c:v>0.0251</c:v>
                </c:pt>
              </c:numCache>
            </c:numRef>
          </c:val>
        </c:ser>
        <c:dLbls>
          <c:showLegendKey val="0"/>
          <c:showVal val="1"/>
          <c:showCatName val="0"/>
          <c:showSerName val="0"/>
          <c:showPercent val="0"/>
          <c:showBubbleSize val="0"/>
        </c:dLbls>
        <c:gapWidth val="219"/>
        <c:overlap val="-27"/>
        <c:axId val="444227442"/>
        <c:axId val="467993142"/>
        <c:extLst>
          <c:ext xmlns:c15="http://schemas.microsoft.com/office/drawing/2012/chart" uri="{02D57815-91ED-43cb-92C2-25804820EDAC}">
            <c15:filteredBarSeries>
              <c15:ser>
                <c:idx val="1"/>
                <c:order val="1"/>
                <c:tx>
                  <c:strRef>
                    <c:extLst>
                      <c:ext uri="{02D57815-91ED-43cb-92C2-25804820EDAC}">
                        <c15:formulaRef>
                          <c15:sqref>[郑州.xlsx]主卷!$C$207</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[郑州.xlsx]主卷!$A$208:$A$212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{4987,8114,8610,941,639}</c15:sqref>
                        </c15:formulaRef>
                      </c:ext>
                    </c:extLst>
                    <c:numCache>
                      <c:formatCode>General</c:formatCode>
                      <c:ptCount val="5"/>
                      <c:pt idx="0">
                        <c:v>4987</c:v>
                      </c:pt>
                      <c:pt idx="1">
                        <c:v>8114</c:v>
                      </c:pt>
                      <c:pt idx="2">
                        <c:v>8610</c:v>
                      </c:pt>
                      <c:pt idx="3">
                        <c:v>941</c:v>
                      </c:pt>
                      <c:pt idx="4">
                        <c:v>639</c:v>
                      </c:pt>
                    </c:numCache>
                  </c:numRef>
                </c:val>
              </c15:ser>
            </c15:filteredBarSeries>
            <c15:filteredBarSeries>
              <c15:ser>
                <c:idx val="2"/>
                <c:order val="2"/>
                <c:tx>
                  <c:strRef>
                    <c:extLst>
                      <c:ext uri="{02D57815-91ED-43cb-92C2-25804820EDAC}">
                        <c15:formulaRef>
                          <c15:sqref>[郑州.xlsx]主卷!$D$207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[郑州.xlsx]主卷!$A$208:$A$212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{11496,19135,21324,2296,1395}</c15:sqref>
                        </c15:formulaRef>
                      </c:ext>
                    </c:extLst>
                    <c:numCache>
                      <c:formatCode>General</c:formatCode>
                      <c:ptCount val="5"/>
                      <c:pt idx="0">
                        <c:v>11496</c:v>
                      </c:pt>
                      <c:pt idx="1">
                        <c:v>19135</c:v>
                      </c:pt>
                      <c:pt idx="2">
                        <c:v>21324</c:v>
                      </c:pt>
                      <c:pt idx="3">
                        <c:v>2296</c:v>
                      </c:pt>
                      <c:pt idx="4">
                        <c:v>1395</c:v>
                      </c:pt>
                    </c:numCache>
                  </c:numRef>
                </c:val>
              </c15:ser>
            </c15:filteredBarSeries>
          </c:ext>
        </c:extLst>
      </c:barChart>
      <c:catAx>
        <c:axId val="4442274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993142"/>
        <c:crosses val="autoZero"/>
        <c:auto val="1"/>
        <c:lblAlgn val="ctr"/>
        <c:lblOffset val="100"/>
        <c:noMultiLvlLbl val="0"/>
      </c:catAx>
      <c:valAx>
        <c:axId val="4679931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2274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郑州从业人员所在行业占比</a:t>
            </a:r>
          </a:p>
        </c:rich>
      </c:tx>
      <c:layout/>
      <c:overlay val="0"/>
      <c:spPr>
        <a:noFill/>
        <a:ln>
          <a:noFill/>
        </a:ln>
        <a:effectLst/>
      </c:spPr>
    </c:title>
    <c:autoTitleDeleted val="0"/>
    <c:plotArea>
      <c:layout/>
      <c:barChart>
        <c:barDir val="bar"/>
        <c:grouping val="clustered"/>
        <c:varyColors val="0"/>
        <c:ser>
          <c:idx val="0"/>
          <c:order val="0"/>
          <c:tx>
            <c:strRef>
              <c:f>[郑州.xlsx]专题A!$B$8</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[郑州.xlsx]专题A!$A$9:$A$23</c:f>
              <c:strCache>
                <c:ptCount val="15"/>
                <c:pt idx="0">
                  <c:v>科研机构和咨询服务业</c:v>
                </c:pt>
                <c:pt idx="1">
                  <c:v>供水环境等公共事业</c:v>
                </c:pt>
                <c:pt idx="2">
                  <c:v>金融业</c:v>
                </c:pt>
                <c:pt idx="3">
                  <c:v>电力能源</c:v>
                </c:pt>
                <c:pt idx="4">
                  <c:v>社会组织和行业协会</c:v>
                </c:pt>
                <c:pt idx="5">
                  <c:v>建筑业和房地产</c:v>
                </c:pt>
                <c:pt idx="6">
                  <c:v>媒体、文化、体育和娱乐业</c:v>
                </c:pt>
                <c:pt idx="7">
                  <c:v>卫生医疗</c:v>
                </c:pt>
                <c:pt idx="8">
                  <c:v>交通运输</c:v>
                </c:pt>
                <c:pt idx="9">
                  <c:v>农、林、牧、渔业</c:v>
                </c:pt>
                <c:pt idx="10">
                  <c:v>商业服务业</c:v>
                </c:pt>
                <c:pt idx="11">
                  <c:v>教育</c:v>
                </c:pt>
                <c:pt idx="12">
                  <c:v>制造业</c:v>
                </c:pt>
                <c:pt idx="13">
                  <c:v>政府部门</c:v>
                </c:pt>
                <c:pt idx="14">
                  <c:v>互联网平台、通信及信息技术服务业</c:v>
                </c:pt>
              </c:strCache>
            </c:strRef>
          </c:cat>
          <c:val>
            <c:numRef>
              <c:f>[郑州.xlsx]专题A!$B$9:$B$23</c:f>
              <c:numCache>
                <c:formatCode>0.00%</c:formatCode>
                <c:ptCount val="15"/>
                <c:pt idx="0">
                  <c:v>0.0043</c:v>
                </c:pt>
                <c:pt idx="1">
                  <c:v>0.0086</c:v>
                </c:pt>
                <c:pt idx="2">
                  <c:v>0.014</c:v>
                </c:pt>
                <c:pt idx="3">
                  <c:v>0.0215</c:v>
                </c:pt>
                <c:pt idx="4">
                  <c:v>0.0247</c:v>
                </c:pt>
                <c:pt idx="5">
                  <c:v>0.0322</c:v>
                </c:pt>
                <c:pt idx="6">
                  <c:v>0.0322</c:v>
                </c:pt>
                <c:pt idx="7">
                  <c:v>0.0376</c:v>
                </c:pt>
                <c:pt idx="8">
                  <c:v>0.0451</c:v>
                </c:pt>
                <c:pt idx="9">
                  <c:v>0.0709</c:v>
                </c:pt>
                <c:pt idx="10">
                  <c:v>0.0795</c:v>
                </c:pt>
                <c:pt idx="11">
                  <c:v>0.102</c:v>
                </c:pt>
                <c:pt idx="12">
                  <c:v>0.1171</c:v>
                </c:pt>
                <c:pt idx="13">
                  <c:v>0.1547</c:v>
                </c:pt>
                <c:pt idx="14">
                  <c:v>0.2556</c:v>
                </c:pt>
              </c:numCache>
            </c:numRef>
          </c:val>
        </c:ser>
        <c:ser>
          <c:idx val="3"/>
          <c:order val="3"/>
          <c:tx>
            <c:strRef>
              <c:f>[郑州.xlsx]专题A!$E$8</c:f>
              <c:strCache>
                <c:ptCount val="1"/>
                <c:pt idx="0">
                  <c:v>河南占比</c:v>
                </c:pt>
              </c:strCache>
            </c:strRef>
          </c:tx>
          <c:spPr>
            <a:solidFill>
              <a:schemeClr val="accent6">
                <a:lumMod val="7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[郑州.xlsx]专题A!$A$9:$A$23</c:f>
              <c:strCache>
                <c:ptCount val="15"/>
                <c:pt idx="0">
                  <c:v>科研机构和咨询服务业</c:v>
                </c:pt>
                <c:pt idx="1">
                  <c:v>供水环境等公共事业</c:v>
                </c:pt>
                <c:pt idx="2">
                  <c:v>金融业</c:v>
                </c:pt>
                <c:pt idx="3">
                  <c:v>电力能源</c:v>
                </c:pt>
                <c:pt idx="4">
                  <c:v>社会组织和行业协会</c:v>
                </c:pt>
                <c:pt idx="5">
                  <c:v>建筑业和房地产</c:v>
                </c:pt>
                <c:pt idx="6">
                  <c:v>媒体、文化、体育和娱乐业</c:v>
                </c:pt>
                <c:pt idx="7">
                  <c:v>卫生医疗</c:v>
                </c:pt>
                <c:pt idx="8">
                  <c:v>交通运输</c:v>
                </c:pt>
                <c:pt idx="9">
                  <c:v>农、林、牧、渔业</c:v>
                </c:pt>
                <c:pt idx="10">
                  <c:v>商业服务业</c:v>
                </c:pt>
                <c:pt idx="11">
                  <c:v>教育</c:v>
                </c:pt>
                <c:pt idx="12">
                  <c:v>制造业</c:v>
                </c:pt>
                <c:pt idx="13">
                  <c:v>政府部门</c:v>
                </c:pt>
                <c:pt idx="14">
                  <c:v>互联网平台、通信及信息技术服务业</c:v>
                </c:pt>
              </c:strCache>
            </c:strRef>
          </c:cat>
          <c:val>
            <c:numRef>
              <c:f>[郑州.xlsx]专题A!$E$9:$E$23</c:f>
              <c:numCache>
                <c:formatCode>0.00%</c:formatCode>
                <c:ptCount val="15"/>
                <c:pt idx="0">
                  <c:v>0.0041</c:v>
                </c:pt>
                <c:pt idx="1">
                  <c:v>0.0078</c:v>
                </c:pt>
                <c:pt idx="2">
                  <c:v>0.0115</c:v>
                </c:pt>
                <c:pt idx="3">
                  <c:v>0.0184</c:v>
                </c:pt>
                <c:pt idx="4">
                  <c:v>0.023</c:v>
                </c:pt>
                <c:pt idx="5">
                  <c:v>0.0308</c:v>
                </c:pt>
                <c:pt idx="6">
                  <c:v>0.029</c:v>
                </c:pt>
                <c:pt idx="7">
                  <c:v>0.0501</c:v>
                </c:pt>
                <c:pt idx="8">
                  <c:v>0.0363</c:v>
                </c:pt>
                <c:pt idx="9">
                  <c:v>0.1333</c:v>
                </c:pt>
                <c:pt idx="10">
                  <c:v>0.0607</c:v>
                </c:pt>
                <c:pt idx="11">
                  <c:v>0.1522</c:v>
                </c:pt>
                <c:pt idx="12">
                  <c:v>0.0938</c:v>
                </c:pt>
                <c:pt idx="13">
                  <c:v>0.1637</c:v>
                </c:pt>
                <c:pt idx="14">
                  <c:v>0.1853</c:v>
                </c:pt>
              </c:numCache>
            </c:numRef>
          </c:val>
        </c:ser>
        <c:dLbls>
          <c:showLegendKey val="0"/>
          <c:showVal val="1"/>
          <c:showCatName val="0"/>
          <c:showSerName val="0"/>
          <c:showPercent val="0"/>
          <c:showBubbleSize val="0"/>
        </c:dLbls>
        <c:gapWidth val="182"/>
        <c:axId val="801650076"/>
        <c:axId val="71931457"/>
        <c:extLst>
          <c:ext xmlns:c15="http://schemas.microsoft.com/office/drawing/2012/chart" uri="{02D57815-91ED-43cb-92C2-25804820EDAC}">
            <c15:filteredBarSeries>
              <c15:ser>
                <c:idx val="1"/>
                <c:order val="1"/>
                <c:tx>
                  <c:strRef>
                    <c:extLst>
                      <c:ext uri="{02D57815-91ED-43cb-92C2-25804820EDAC}">
                        <c15:formulaRef>
                          <c15:sqref>[郑州.xlsx]专题A!$C$8</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[郑州.xlsx]专题A!$A$9:$A$23</c15:sqref>
                        </c15:formulaRef>
                      </c:ext>
                    </c:extLst>
                    <c:strCache>
                      <c:ptCount val="15"/>
                      <c:pt idx="0">
                        <c:v>科研机构和咨询服务业</c:v>
                      </c:pt>
                      <c:pt idx="1">
                        <c:v>供水环境等公共事业</c:v>
                      </c:pt>
                      <c:pt idx="2">
                        <c:v>金融业</c:v>
                      </c:pt>
                      <c:pt idx="3">
                        <c:v>电力能源</c:v>
                      </c:pt>
                      <c:pt idx="4">
                        <c:v>社会组织和行业协会</c:v>
                      </c:pt>
                      <c:pt idx="5">
                        <c:v>建筑业和房地产</c:v>
                      </c:pt>
                      <c:pt idx="6">
                        <c:v>媒体、文化、体育和娱乐业</c:v>
                      </c:pt>
                      <c:pt idx="7">
                        <c:v>卫生医疗</c:v>
                      </c:pt>
                      <c:pt idx="8">
                        <c:v>交通运输</c:v>
                      </c:pt>
                      <c:pt idx="9">
                        <c:v>农、林、牧、渔业</c:v>
                      </c:pt>
                      <c:pt idx="10">
                        <c:v>商业服务业</c:v>
                      </c:pt>
                      <c:pt idx="11">
                        <c:v>教育</c:v>
                      </c:pt>
                      <c:pt idx="12">
                        <c:v>制造业</c:v>
                      </c:pt>
                      <c:pt idx="13">
                        <c:v>政府部门</c:v>
                      </c:pt>
                      <c:pt idx="14">
                        <c:v>互联网平台、通信及信息技术服务业</c:v>
                      </c:pt>
                    </c:strCache>
                  </c:strRef>
                </c:cat>
                <c:val>
                  <c:numRef>
                    <c:extLst>
                      <c:ext uri="{02D57815-91ED-43cb-92C2-25804820EDAC}">
                        <c15:formulaRef>
                          <c15:sqref>{4,8,13,20,23,30,30,35,42,66,74,95,109,144,238}</c15:sqref>
                        </c15:formulaRef>
                      </c:ext>
                    </c:extLst>
                    <c:numCache>
                      <c:formatCode>General</c:formatCode>
                      <c:ptCount val="15"/>
                      <c:pt idx="0">
                        <c:v>4</c:v>
                      </c:pt>
                      <c:pt idx="1">
                        <c:v>8</c:v>
                      </c:pt>
                      <c:pt idx="2">
                        <c:v>13</c:v>
                      </c:pt>
                      <c:pt idx="3">
                        <c:v>20</c:v>
                      </c:pt>
                      <c:pt idx="4">
                        <c:v>23</c:v>
                      </c:pt>
                      <c:pt idx="5">
                        <c:v>30</c:v>
                      </c:pt>
                      <c:pt idx="6">
                        <c:v>30</c:v>
                      </c:pt>
                      <c:pt idx="7">
                        <c:v>35</c:v>
                      </c:pt>
                      <c:pt idx="8">
                        <c:v>42</c:v>
                      </c:pt>
                      <c:pt idx="9">
                        <c:v>66</c:v>
                      </c:pt>
                      <c:pt idx="10">
                        <c:v>74</c:v>
                      </c:pt>
                      <c:pt idx="11">
                        <c:v>95</c:v>
                      </c:pt>
                      <c:pt idx="12">
                        <c:v>109</c:v>
                      </c:pt>
                      <c:pt idx="13">
                        <c:v>144</c:v>
                      </c:pt>
                      <c:pt idx="14">
                        <c:v>238</c:v>
                      </c:pt>
                    </c:numCache>
                  </c:numRef>
                </c:val>
              </c15:ser>
            </c15:filteredBarSeries>
            <c15:filteredBarSeries>
              <c15:ser>
                <c:idx val="2"/>
                <c:order val="2"/>
                <c:tx>
                  <c:strRef>
                    <c:extLst>
                      <c:ext uri="{02D57815-91ED-43cb-92C2-25804820EDAC}">
                        <c15:formulaRef>
                          <c15:sqref>[郑州.xlsx]专题A!$D$8</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[郑州.xlsx]专题A!$A$9:$A$23</c15:sqref>
                        </c15:formulaRef>
                      </c:ext>
                    </c:extLst>
                    <c:strCache>
                      <c:ptCount val="15"/>
                      <c:pt idx="0">
                        <c:v>科研机构和咨询服务业</c:v>
                      </c:pt>
                      <c:pt idx="1">
                        <c:v>供水环境等公共事业</c:v>
                      </c:pt>
                      <c:pt idx="2">
                        <c:v>金融业</c:v>
                      </c:pt>
                      <c:pt idx="3">
                        <c:v>电力能源</c:v>
                      </c:pt>
                      <c:pt idx="4">
                        <c:v>社会组织和行业协会</c:v>
                      </c:pt>
                      <c:pt idx="5">
                        <c:v>建筑业和房地产</c:v>
                      </c:pt>
                      <c:pt idx="6">
                        <c:v>媒体、文化、体育和娱乐业</c:v>
                      </c:pt>
                      <c:pt idx="7">
                        <c:v>卫生医疗</c:v>
                      </c:pt>
                      <c:pt idx="8">
                        <c:v>交通运输</c:v>
                      </c:pt>
                      <c:pt idx="9">
                        <c:v>农、林、牧、渔业</c:v>
                      </c:pt>
                      <c:pt idx="10">
                        <c:v>商业服务业</c:v>
                      </c:pt>
                      <c:pt idx="11">
                        <c:v>教育</c:v>
                      </c:pt>
                      <c:pt idx="12">
                        <c:v>制造业</c:v>
                      </c:pt>
                      <c:pt idx="13">
                        <c:v>政府部门</c:v>
                      </c:pt>
                      <c:pt idx="14">
                        <c:v>互联网平台、通信及信息技术服务业</c:v>
                      </c:pt>
                    </c:strCache>
                  </c:strRef>
                </c:cat>
                <c:val>
                  <c:numRef>
                    <c:extLst>
                      <c:ext uri="{02D57815-91ED-43cb-92C2-25804820EDAC}">
                        <c15:formulaRef>
                          <c15:sqref>{9,17,25,40,50,67,63,109,79,290,132,331,204,356,403}</c15:sqref>
                        </c15:formulaRef>
                      </c:ext>
                    </c:extLst>
                    <c:numCache>
                      <c:formatCode>General</c:formatCode>
                      <c:ptCount val="15"/>
                      <c:pt idx="0">
                        <c:v>9</c:v>
                      </c:pt>
                      <c:pt idx="1">
                        <c:v>17</c:v>
                      </c:pt>
                      <c:pt idx="2">
                        <c:v>25</c:v>
                      </c:pt>
                      <c:pt idx="3">
                        <c:v>40</c:v>
                      </c:pt>
                      <c:pt idx="4">
                        <c:v>50</c:v>
                      </c:pt>
                      <c:pt idx="5">
                        <c:v>67</c:v>
                      </c:pt>
                      <c:pt idx="6">
                        <c:v>63</c:v>
                      </c:pt>
                      <c:pt idx="7">
                        <c:v>109</c:v>
                      </c:pt>
                      <c:pt idx="8">
                        <c:v>79</c:v>
                      </c:pt>
                      <c:pt idx="9">
                        <c:v>290</c:v>
                      </c:pt>
                      <c:pt idx="10">
                        <c:v>132</c:v>
                      </c:pt>
                      <c:pt idx="11">
                        <c:v>331</c:v>
                      </c:pt>
                      <c:pt idx="12">
                        <c:v>204</c:v>
                      </c:pt>
                      <c:pt idx="13">
                        <c:v>356</c:v>
                      </c:pt>
                      <c:pt idx="14">
                        <c:v>403</c:v>
                      </c:pt>
                    </c:numCache>
                  </c:numRef>
                </c:val>
              </c15:ser>
            </c15:filteredBarSeries>
          </c:ext>
        </c:extLst>
      </c:barChart>
      <c:catAx>
        <c:axId val="8016500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31457"/>
        <c:crosses val="autoZero"/>
        <c:auto val="1"/>
        <c:lblAlgn val="ctr"/>
        <c:lblOffset val="100"/>
        <c:noMultiLvlLbl val="0"/>
      </c:catAx>
      <c:valAx>
        <c:axId val="719314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6500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郑州从业人员网民年龄分布图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[郑州.xlsx]主卷!$C$8</c:f>
              <c:strCache>
                <c:ptCount val="1"/>
                <c:pt idx="0">
                  <c:v>郑州占比</c:v>
                </c:pt>
              </c:strCache>
            </c:strRef>
          </c:tx>
          <c:spPr>
            <a:solidFill>
              <a:schemeClr val="accent1"/>
            </a:solidFill>
            <a:ln>
              <a:noFill/>
            </a:ln>
            <a:effectLst/>
          </c:spPr>
          <c:invertIfNegative val="0"/>
          <c:dLbls>
            <c:dLbl>
              <c:idx val="0"/>
              <c:layout>
                <c:manualLayout>
                  <c:x val="-0.0123908425772953"/>
                  <c:y val="-0.0031380753138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7012036818504"/>
                  <c:y val="0.0031380753138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6207222091102"/>
                  <c:y val="0.00941422594142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[郑州.xlsx]主卷!$A$9:$A$15</c:f>
              <c:strCache>
                <c:ptCount val="7"/>
                <c:pt idx="0">
                  <c:v>12岁以下</c:v>
                </c:pt>
                <c:pt idx="1">
                  <c:v>12-18岁</c:v>
                </c:pt>
                <c:pt idx="2">
                  <c:v>19-24岁</c:v>
                </c:pt>
                <c:pt idx="3">
                  <c:v>25-30岁</c:v>
                </c:pt>
                <c:pt idx="4">
                  <c:v>31-45岁</c:v>
                </c:pt>
                <c:pt idx="5">
                  <c:v>46-60岁</c:v>
                </c:pt>
                <c:pt idx="6">
                  <c:v>61岁以上</c:v>
                </c:pt>
              </c:strCache>
            </c:strRef>
          </c:cat>
          <c:val>
            <c:numRef>
              <c:f>[郑州.xlsx]主卷!$C$9:$C$15</c:f>
              <c:numCache>
                <c:formatCode>0.00%</c:formatCode>
                <c:ptCount val="7"/>
                <c:pt idx="0">
                  <c:v>0.0027</c:v>
                </c:pt>
                <c:pt idx="1">
                  <c:v>0.1555</c:v>
                </c:pt>
                <c:pt idx="2">
                  <c:v>0.2007</c:v>
                </c:pt>
                <c:pt idx="3">
                  <c:v>0.2082</c:v>
                </c:pt>
                <c:pt idx="4">
                  <c:v>0.3314</c:v>
                </c:pt>
                <c:pt idx="5">
                  <c:v>0.0936</c:v>
                </c:pt>
                <c:pt idx="6">
                  <c:v>0.0079</c:v>
                </c:pt>
              </c:numCache>
            </c:numRef>
          </c:val>
        </c:ser>
        <c:ser>
          <c:idx val="3"/>
          <c:order val="3"/>
          <c:tx>
            <c:strRef>
              <c:f>[郑州.xlsx]主卷!$E$8</c:f>
              <c:strCache>
                <c:ptCount val="1"/>
                <c:pt idx="0">
                  <c:v>河南占比</c:v>
                </c:pt>
              </c:strCache>
            </c:strRef>
          </c:tx>
          <c:spPr>
            <a:solidFill>
              <a:schemeClr val="accent2"/>
            </a:solidFill>
            <a:ln>
              <a:noFill/>
            </a:ln>
            <a:effectLst/>
          </c:spPr>
          <c:invertIfNegative val="0"/>
          <c:dLbls>
            <c:dLbl>
              <c:idx val="0"/>
              <c:layout>
                <c:manualLayout>
                  <c:x val="0.0194713240500354"/>
                  <c:y val="-0.00941422594142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78168515459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7012036818504"/>
                  <c:y val="0.0156903765690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0115647864055"/>
                  <c:y val="0.00627615062761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83219258909606"/>
                  <c:y val="-0.0125523012552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83219258909606"/>
                  <c:y val="-0.01255230125523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[郑州.xlsx]主卷!$A$9:$A$15</c:f>
              <c:strCache>
                <c:ptCount val="7"/>
                <c:pt idx="0">
                  <c:v>12岁以下</c:v>
                </c:pt>
                <c:pt idx="1">
                  <c:v>12-18岁</c:v>
                </c:pt>
                <c:pt idx="2">
                  <c:v>19-24岁</c:v>
                </c:pt>
                <c:pt idx="3">
                  <c:v>25-30岁</c:v>
                </c:pt>
                <c:pt idx="4">
                  <c:v>31-45岁</c:v>
                </c:pt>
                <c:pt idx="5">
                  <c:v>46-60岁</c:v>
                </c:pt>
                <c:pt idx="6">
                  <c:v>61岁以上</c:v>
                </c:pt>
              </c:strCache>
            </c:strRef>
          </c:cat>
          <c:val>
            <c:numRef>
              <c:f>[郑州.xlsx]主卷!$E$9:$E$15</c:f>
              <c:numCache>
                <c:formatCode>0.00%</c:formatCode>
                <c:ptCount val="7"/>
                <c:pt idx="0">
                  <c:v>0.006</c:v>
                </c:pt>
                <c:pt idx="1">
                  <c:v>0.1569</c:v>
                </c:pt>
                <c:pt idx="2">
                  <c:v>0.1735</c:v>
                </c:pt>
                <c:pt idx="3">
                  <c:v>0.179</c:v>
                </c:pt>
                <c:pt idx="4">
                  <c:v>0.3633</c:v>
                </c:pt>
                <c:pt idx="5">
                  <c:v>0.1006</c:v>
                </c:pt>
                <c:pt idx="6">
                  <c:v>0.0207</c:v>
                </c:pt>
              </c:numCache>
            </c:numRef>
          </c:val>
        </c:ser>
        <c:dLbls>
          <c:showLegendKey val="0"/>
          <c:showVal val="1"/>
          <c:showCatName val="0"/>
          <c:showSerName val="0"/>
          <c:showPercent val="0"/>
          <c:showBubbleSize val="0"/>
        </c:dLbls>
        <c:gapWidth val="219"/>
        <c:overlap val="-27"/>
        <c:axId val="121677856"/>
        <c:axId val="121678416"/>
        <c:extLst>
          <c:ext xmlns:c15="http://schemas.microsoft.com/office/drawing/2012/chart" uri="{02D57815-91ED-43cb-92C2-25804820EDAC}">
            <c15:filteredBarSeries>
              <c15:ser>
                <c:idx val="0"/>
                <c:order val="0"/>
                <c:tx>
                  <c:strRef>
                    <c:extLst>
                      <c:ext uri="{02D57815-91ED-43cb-92C2-25804820EDAC}">
                        <c15:formulaRef>
                          <c15:sqref>[郑州.xlsx]主卷!$B$8</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[郑州.xlsx]主卷!$A$9:$A$15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{64,3621,4676,4849,7719,2179,183}</c15:sqref>
                        </c15:formulaRef>
                      </c:ext>
                    </c:extLst>
                    <c:numCache>
                      <c:formatCode>General</c:formatCode>
                      <c:ptCount val="7"/>
                      <c:pt idx="0">
                        <c:v>64</c:v>
                      </c:pt>
                      <c:pt idx="1">
                        <c:v>3621</c:v>
                      </c:pt>
                      <c:pt idx="2">
                        <c:v>4676</c:v>
                      </c:pt>
                      <c:pt idx="3">
                        <c:v>4849</c:v>
                      </c:pt>
                      <c:pt idx="4">
                        <c:v>7719</c:v>
                      </c:pt>
                      <c:pt idx="5">
                        <c:v>2179</c:v>
                      </c:pt>
                      <c:pt idx="6">
                        <c:v>183</c:v>
                      </c:pt>
                    </c:numCache>
                  </c:numRef>
                </c:val>
              </c15:ser>
            </c15:filteredBarSeries>
            <c15:filteredBarSeries>
              <c15:ser>
                <c:idx val="2"/>
                <c:order val="2"/>
                <c:tx>
                  <c:strRef>
                    <c:extLst>
                      <c:ext uri="{02D57815-91ED-43cb-92C2-25804820EDAC}">
                        <c15:formulaRef>
                          <c15:sqref>[郑州.xlsx]主卷!$D$8</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[郑州.xlsx]主卷!$A$9:$A$15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{335,8733,9655,9962,20214,5597,1150}</c15:sqref>
                        </c15:formulaRef>
                      </c:ext>
                    </c:extLst>
                    <c:numCache>
                      <c:formatCode>General</c:formatCode>
                      <c:ptCount val="7"/>
                      <c:pt idx="0">
                        <c:v>335</c:v>
                      </c:pt>
                      <c:pt idx="1">
                        <c:v>8733</c:v>
                      </c:pt>
                      <c:pt idx="2">
                        <c:v>9655</c:v>
                      </c:pt>
                      <c:pt idx="3">
                        <c:v>9962</c:v>
                      </c:pt>
                      <c:pt idx="4">
                        <c:v>20214</c:v>
                      </c:pt>
                      <c:pt idx="5">
                        <c:v>5597</c:v>
                      </c:pt>
                      <c:pt idx="6">
                        <c:v>1150</c:v>
                      </c:pt>
                    </c:numCache>
                  </c:numRef>
                </c:val>
              </c15:ser>
            </c15:filteredBarSeries>
          </c:ext>
        </c:extLst>
      </c:barChart>
      <c:catAx>
        <c:axId val="121677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678416"/>
        <c:crosses val="autoZero"/>
        <c:auto val="1"/>
        <c:lblAlgn val="ctr"/>
        <c:lblOffset val="100"/>
        <c:noMultiLvlLbl val="0"/>
      </c:catAx>
      <c:valAx>
        <c:axId val="121678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677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所在行业对等级保护工作指导现状</a:t>
            </a:r>
            <a:endParaRPr lang="zh-CN" altLang="en-US"/>
          </a:p>
        </c:rich>
      </c:tx>
      <c:layout/>
      <c:overlay val="0"/>
      <c:spPr>
        <a:noFill/>
        <a:ln>
          <a:noFill/>
        </a:ln>
        <a:effectLst/>
      </c:spPr>
    </c:title>
    <c:autoTitleDeleted val="0"/>
    <c:plotArea>
      <c:layout/>
      <c:barChart>
        <c:barDir val="col"/>
        <c:grouping val="clustered"/>
        <c:varyColors val="0"/>
        <c:ser>
          <c:idx val="0"/>
          <c:order val="0"/>
          <c:tx>
            <c:strRef>
              <c:f>[郑州.xlsx]专题A!$B$27</c:f>
              <c:strCache>
                <c:ptCount val="1"/>
                <c:pt idx="0">
                  <c:v>郑州占比</c:v>
                </c:pt>
              </c:strCache>
            </c:strRef>
          </c:tx>
          <c:spPr>
            <a:solidFill>
              <a:schemeClr val="tx2">
                <a:lumMod val="60000"/>
                <a:lumOff val="40000"/>
              </a:schemeClr>
            </a:solidFill>
            <a:ln>
              <a:noFill/>
            </a:ln>
            <a:effectLst/>
          </c:spPr>
          <c:invertIfNegative val="0"/>
          <c:dLbls>
            <c:dLbl>
              <c:idx val="3"/>
              <c:layout>
                <c:manualLayout>
                  <c:x val="-0.0115277777777778"/>
                  <c:y val="0.007617728531855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[郑州.xlsx]专题A!$A$28:$A$31</c:f>
              <c:strCache>
                <c:ptCount val="4"/>
                <c:pt idx="0">
                  <c:v>没有</c:v>
                </c:pt>
                <c:pt idx="1">
                  <c:v>有，但较为简单</c:v>
                </c:pt>
                <c:pt idx="2">
                  <c:v>有，明确细致</c:v>
                </c:pt>
                <c:pt idx="3">
                  <c:v>不知道</c:v>
                </c:pt>
              </c:strCache>
            </c:strRef>
          </c:cat>
          <c:val>
            <c:numRef>
              <c:f>[郑州.xlsx]专题A!$B$28:$B$31</c:f>
              <c:numCache>
                <c:formatCode>0.00%</c:formatCode>
                <c:ptCount val="4"/>
                <c:pt idx="0">
                  <c:v>0.1804</c:v>
                </c:pt>
                <c:pt idx="1">
                  <c:v>0.3466</c:v>
                </c:pt>
                <c:pt idx="2">
                  <c:v>0.3955</c:v>
                </c:pt>
                <c:pt idx="3">
                  <c:v>0.0775</c:v>
                </c:pt>
              </c:numCache>
            </c:numRef>
          </c:val>
        </c:ser>
        <c:ser>
          <c:idx val="3"/>
          <c:order val="3"/>
          <c:tx>
            <c:strRef>
              <c:f>[郑州.xlsx]专题A!$E$27</c:f>
              <c:strCache>
                <c:ptCount val="1"/>
                <c:pt idx="0">
                  <c:v>河南占比</c:v>
                </c:pt>
              </c:strCache>
            </c:strRef>
          </c:tx>
          <c:spPr>
            <a:solidFill>
              <a:schemeClr val="accent6"/>
            </a:solidFill>
            <a:ln>
              <a:noFill/>
            </a:ln>
            <a:effectLst/>
          </c:spPr>
          <c:invertIfNegative val="0"/>
          <c:dLbls>
            <c:dLbl>
              <c:idx val="0"/>
              <c:layout>
                <c:manualLayout>
                  <c:x val="0.0184722222222222"/>
                  <c:y val="0.007848568790397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6111111111111"/>
                  <c:y val="0.00392428439519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94444444444444"/>
                  <c:y val="0.01939058171745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[郑州.xlsx]专题A!$A$28:$A$31</c:f>
              <c:strCache>
                <c:ptCount val="4"/>
                <c:pt idx="0">
                  <c:v>没有</c:v>
                </c:pt>
                <c:pt idx="1">
                  <c:v>有，但较为简单</c:v>
                </c:pt>
                <c:pt idx="2">
                  <c:v>有，明确细致</c:v>
                </c:pt>
                <c:pt idx="3">
                  <c:v>不知道</c:v>
                </c:pt>
              </c:strCache>
            </c:strRef>
          </c:cat>
          <c:val>
            <c:numRef>
              <c:f>[郑州.xlsx]专题A!$E$28:$E$31</c:f>
              <c:numCache>
                <c:formatCode>0.00%</c:formatCode>
                <c:ptCount val="4"/>
                <c:pt idx="0">
                  <c:v>0.1951</c:v>
                </c:pt>
                <c:pt idx="1">
                  <c:v>0.356</c:v>
                </c:pt>
                <c:pt idx="2">
                  <c:v>0.3529</c:v>
                </c:pt>
                <c:pt idx="3">
                  <c:v>0.096</c:v>
                </c:pt>
              </c:numCache>
            </c:numRef>
          </c:val>
        </c:ser>
        <c:dLbls>
          <c:showLegendKey val="0"/>
          <c:showVal val="0"/>
          <c:showCatName val="0"/>
          <c:showSerName val="0"/>
          <c:showPercent val="0"/>
          <c:showBubbleSize val="0"/>
        </c:dLbls>
        <c:gapWidth val="219"/>
        <c:overlap val="-27"/>
        <c:axId val="331300560"/>
        <c:axId val="331306160"/>
        <c:extLst>
          <c:ext xmlns:c15="http://schemas.microsoft.com/office/drawing/2012/chart" uri="{02D57815-91ED-43cb-92C2-25804820EDAC}">
            <c15:filteredBarSeries>
              <c15:ser>
                <c:idx val="1"/>
                <c:order val="1"/>
                <c:tx>
                  <c:strRef>
                    <c:extLst>
                      <c:ext uri="{02D57815-91ED-43cb-92C2-25804820EDAC}">
                        <c15:formulaRef>
                          <c15:sqref>[郑州.xlsx]专题A!$C$27</c15:sqref>
                        </c15:formulaRef>
                      </c:ext>
                    </c:extLst>
                    <c:strCache>
                      <c:ptCount val="1"/>
                      <c:pt idx="0">
                        <c:v>郑州数</c:v>
                      </c:pt>
                    </c:strCache>
                  </c:strRef>
                </c:tx>
                <c:spPr>
                  <a:solidFill>
                    <a:schemeClr val="accent2"/>
                  </a:solidFill>
                  <a:ln>
                    <a:noFill/>
                  </a:ln>
                  <a:effectLst/>
                </c:spPr>
                <c:invertIfNegative val="0"/>
                <c:dLbls>
                  <c:delete val="1"/>
                </c:dLbls>
                <c:cat>
                  <c:strRef>
                    <c:extLst>
                      <c:ext uri="{02D57815-91ED-43cb-92C2-25804820EDAC}">
                        <c15:fullRef>
                          <c15:sqref/>
                        </c15:fullRef>
                        <c15:formulaRef>
                          <c15:sqref>[郑州.xlsx]专题A!$A$28:$A$31</c15:sqref>
                        </c15:formulaRef>
                      </c:ext>
                    </c:extLst>
                    <c:strCache>
                      <c:ptCount val="4"/>
                      <c:pt idx="0">
                        <c:v>没有</c:v>
                      </c:pt>
                      <c:pt idx="1">
                        <c:v>有，但较为简单</c:v>
                      </c:pt>
                      <c:pt idx="2">
                        <c:v>有，明确细致</c:v>
                      </c:pt>
                      <c:pt idx="3">
                        <c:v>不知道</c:v>
                      </c:pt>
                    </c:strCache>
                  </c:strRef>
                </c:cat>
                <c:val>
                  <c:numRef>
                    <c:extLst>
                      <c:ext uri="{02D57815-91ED-43cb-92C2-25804820EDAC}">
                        <c15:formulaRef>
                          <c15:sqref>{177,340,388,76}</c15:sqref>
                        </c15:formulaRef>
                      </c:ext>
                    </c:extLst>
                    <c:numCache>
                      <c:formatCode>General</c:formatCode>
                      <c:ptCount val="4"/>
                      <c:pt idx="0">
                        <c:v>177</c:v>
                      </c:pt>
                      <c:pt idx="1">
                        <c:v>340</c:v>
                      </c:pt>
                      <c:pt idx="2">
                        <c:v>388</c:v>
                      </c:pt>
                      <c:pt idx="3">
                        <c:v>76</c:v>
                      </c:pt>
                    </c:numCache>
                  </c:numRef>
                </c:val>
              </c15:ser>
            </c15:filteredBarSeries>
            <c15:filteredBarSeries>
              <c15:ser>
                <c:idx val="2"/>
                <c:order val="2"/>
                <c:tx>
                  <c:strRef>
                    <c:extLst>
                      <c:ext uri="{02D57815-91ED-43cb-92C2-25804820EDAC}">
                        <c15:formulaRef>
                          <c15:sqref>[郑州.xlsx]专题A!$D$27</c15:sqref>
                        </c15:formulaRef>
                      </c:ext>
                    </c:extLst>
                    <c:strCache>
                      <c:ptCount val="1"/>
                      <c:pt idx="0">
                        <c:v>河南数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[郑州.xlsx]专题A!$A$28:$A$31</c15:sqref>
                        </c15:formulaRef>
                      </c:ext>
                    </c:extLst>
                    <c:strCache>
                      <c:ptCount val="4"/>
                      <c:pt idx="0">
                        <c:v>没有</c:v>
                      </c:pt>
                      <c:pt idx="1">
                        <c:v>有，但较为简单</c:v>
                      </c:pt>
                      <c:pt idx="2">
                        <c:v>有，明确细致</c:v>
                      </c:pt>
                      <c:pt idx="3">
                        <c:v>不知道</c:v>
                      </c:pt>
                    </c:strCache>
                  </c:strRef>
                </c:cat>
                <c:val>
                  <c:numRef>
                    <c:extLst>
                      <c:ext uri="{02D57815-91ED-43cb-92C2-25804820EDAC}">
                        <c15:formulaRef>
                          <c15:sqref>{451,823,816,222}</c15:sqref>
                        </c15:formulaRef>
                      </c:ext>
                    </c:extLst>
                    <c:numCache>
                      <c:formatCode>General</c:formatCode>
                      <c:ptCount val="4"/>
                      <c:pt idx="0">
                        <c:v>451</c:v>
                      </c:pt>
                      <c:pt idx="1">
                        <c:v>823</c:v>
                      </c:pt>
                      <c:pt idx="2">
                        <c:v>816</c:v>
                      </c:pt>
                      <c:pt idx="3">
                        <c:v>222</c:v>
                      </c:pt>
                    </c:numCache>
                  </c:numRef>
                </c:val>
              </c15:ser>
            </c15:filteredBarSeries>
          </c:ext>
        </c:extLst>
      </c:barChart>
      <c:catAx>
        <c:axId val="33130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306160"/>
        <c:crosses val="autoZero"/>
        <c:auto val="1"/>
        <c:lblAlgn val="ctr"/>
        <c:lblOffset val="100"/>
        <c:noMultiLvlLbl val="0"/>
      </c:catAx>
      <c:valAx>
        <c:axId val="331306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30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网络安全对单位重要性认识</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[郑州.xlsx]专题A!$C$35</c:f>
              <c:strCache>
                <c:ptCount val="1"/>
                <c:pt idx="0">
                  <c:v>郑州占比</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[郑州.xlsx]专题A!$A$36:$A$40</c:f>
              <c:strCache>
                <c:ptCount val="5"/>
                <c:pt idx="0">
                  <c:v>非常重要</c:v>
                </c:pt>
                <c:pt idx="1">
                  <c:v>重要</c:v>
                </c:pt>
                <c:pt idx="2">
                  <c:v>一般</c:v>
                </c:pt>
                <c:pt idx="3">
                  <c:v>不重要</c:v>
                </c:pt>
                <c:pt idx="4">
                  <c:v>完全不重要</c:v>
                </c:pt>
              </c:strCache>
            </c:strRef>
          </c:cat>
          <c:val>
            <c:numRef>
              <c:f>[郑州.xlsx]专题A!$C$36:$C$40</c:f>
              <c:numCache>
                <c:formatCode>0.00%</c:formatCode>
                <c:ptCount val="5"/>
                <c:pt idx="0">
                  <c:v>0.6471</c:v>
                </c:pt>
                <c:pt idx="1">
                  <c:v>0.2799</c:v>
                </c:pt>
                <c:pt idx="2">
                  <c:v>0.0619</c:v>
                </c:pt>
                <c:pt idx="3">
                  <c:v>0.0051</c:v>
                </c:pt>
                <c:pt idx="4">
                  <c:v>0.0061</c:v>
                </c:pt>
              </c:numCache>
            </c:numRef>
          </c:val>
        </c:ser>
        <c:ser>
          <c:idx val="3"/>
          <c:order val="3"/>
          <c:tx>
            <c:strRef>
              <c:f>[郑州.xlsx]专题A!$E$35</c:f>
              <c:strCache>
                <c:ptCount val="1"/>
                <c:pt idx="0">
                  <c:v>河南占比</c:v>
                </c:pt>
              </c:strCache>
            </c:strRef>
          </c:tx>
          <c:spPr>
            <a:solidFill>
              <a:schemeClr val="accent1"/>
            </a:solidFill>
            <a:ln>
              <a:noFill/>
            </a:ln>
            <a:effectLst/>
          </c:spPr>
          <c:invertIfNegative val="0"/>
          <c:dLbls>
            <c:dLbl>
              <c:idx val="0"/>
              <c:layout>
                <c:manualLayout>
                  <c:x val="0.025"/>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888888888889"/>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888888888889"/>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222222222222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[郑州.xlsx]专题A!$A$36:$A$40</c:f>
              <c:strCache>
                <c:ptCount val="5"/>
                <c:pt idx="0">
                  <c:v>非常重要</c:v>
                </c:pt>
                <c:pt idx="1">
                  <c:v>重要</c:v>
                </c:pt>
                <c:pt idx="2">
                  <c:v>一般</c:v>
                </c:pt>
                <c:pt idx="3">
                  <c:v>不重要</c:v>
                </c:pt>
                <c:pt idx="4">
                  <c:v>完全不重要</c:v>
                </c:pt>
              </c:strCache>
            </c:strRef>
          </c:cat>
          <c:val>
            <c:numRef>
              <c:f>[郑州.xlsx]专题A!$E$36:$E$40</c:f>
              <c:numCache>
                <c:formatCode>0.00%</c:formatCode>
                <c:ptCount val="5"/>
                <c:pt idx="0">
                  <c:v>0.5989</c:v>
                </c:pt>
                <c:pt idx="1">
                  <c:v>0.2952</c:v>
                </c:pt>
                <c:pt idx="2">
                  <c:v>0.0871</c:v>
                </c:pt>
                <c:pt idx="3">
                  <c:v>0.0129</c:v>
                </c:pt>
                <c:pt idx="4">
                  <c:v>0.006</c:v>
                </c:pt>
              </c:numCache>
            </c:numRef>
          </c:val>
        </c:ser>
        <c:dLbls>
          <c:showLegendKey val="0"/>
          <c:showVal val="1"/>
          <c:showCatName val="0"/>
          <c:showSerName val="0"/>
          <c:showPercent val="0"/>
          <c:showBubbleSize val="0"/>
        </c:dLbls>
        <c:gapWidth val="219"/>
        <c:overlap val="-27"/>
        <c:axId val="331300000"/>
        <c:axId val="331296080"/>
        <c:extLst>
          <c:ext xmlns:c15="http://schemas.microsoft.com/office/drawing/2012/chart" uri="{02D57815-91ED-43cb-92C2-25804820EDAC}">
            <c15:filteredBarSeries>
              <c15:ser>
                <c:idx val="0"/>
                <c:order val="0"/>
                <c:tx>
                  <c:strRef>
                    <c:extLst>
                      <c:ext uri="{02D57815-91ED-43cb-92C2-25804820EDAC}">
                        <c15:formulaRef>
                          <c15:sqref>[郑州.xlsx]专题A!$B$35</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[郑州.xlsx]专题A!$A$36:$A$40</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{638,276,61,5,6}</c15:sqref>
                        </c15:formulaRef>
                      </c:ext>
                    </c:extLst>
                    <c:numCache>
                      <c:formatCode>General</c:formatCode>
                      <c:ptCount val="5"/>
                      <c:pt idx="0">
                        <c:v>638</c:v>
                      </c:pt>
                      <c:pt idx="1">
                        <c:v>276</c:v>
                      </c:pt>
                      <c:pt idx="2">
                        <c:v>61</c:v>
                      </c:pt>
                      <c:pt idx="3">
                        <c:v>5</c:v>
                      </c:pt>
                      <c:pt idx="4">
                        <c:v>6</c:v>
                      </c:pt>
                    </c:numCache>
                  </c:numRef>
                </c:val>
              </c15:ser>
            </c15:filteredBarSeries>
            <c15:filteredBarSeries>
              <c15:ser>
                <c:idx val="2"/>
                <c:order val="2"/>
                <c:tx>
                  <c:strRef>
                    <c:extLst>
                      <c:ext uri="{02D57815-91ED-43cb-92C2-25804820EDAC}">
                        <c15:formulaRef>
                          <c15:sqref>[郑州.xlsx]专题A!$D$35</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[郑州.xlsx]专题A!$A$36:$A$40</c15:sqref>
                        </c15:formulaRef>
                      </c:ext>
                    </c:extLst>
                    <c:strCache>
                      <c:ptCount val="5"/>
                      <c:pt idx="0">
                        <c:v>非常重要</c:v>
                      </c:pt>
                      <c:pt idx="1">
                        <c:v>重要</c:v>
                      </c:pt>
                      <c:pt idx="2">
                        <c:v>一般</c:v>
                      </c:pt>
                      <c:pt idx="3">
                        <c:v>不重要</c:v>
                      </c:pt>
                      <c:pt idx="4">
                        <c:v>完全不重要</c:v>
                      </c:pt>
                    </c:strCache>
                  </c:strRef>
                </c:cat>
                <c:val>
                  <c:numRef>
                    <c:extLst>
                      <c:ext uri="{02D57815-91ED-43cb-92C2-25804820EDAC}">
                        <c15:formulaRef>
                          <c15:sqref>{1396,688,203,30,14}</c15:sqref>
                        </c15:formulaRef>
                      </c:ext>
                    </c:extLst>
                    <c:numCache>
                      <c:formatCode>General</c:formatCode>
                      <c:ptCount val="5"/>
                      <c:pt idx="0">
                        <c:v>1396</c:v>
                      </c:pt>
                      <c:pt idx="1">
                        <c:v>688</c:v>
                      </c:pt>
                      <c:pt idx="2">
                        <c:v>203</c:v>
                      </c:pt>
                      <c:pt idx="3">
                        <c:v>30</c:v>
                      </c:pt>
                      <c:pt idx="4">
                        <c:v>14</c:v>
                      </c:pt>
                    </c:numCache>
                  </c:numRef>
                </c:val>
              </c15:ser>
            </c15:filteredBarSeries>
          </c:ext>
        </c:extLst>
      </c:barChart>
      <c:catAx>
        <c:axId val="3313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296080"/>
        <c:crosses val="autoZero"/>
        <c:auto val="1"/>
        <c:lblAlgn val="ctr"/>
        <c:lblOffset val="100"/>
        <c:noMultiLvlLbl val="0"/>
      </c:catAx>
      <c:valAx>
        <c:axId val="331296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300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对单位安全管理状况的了解</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tx2">
                  <a:lumMod val="60000"/>
                  <a:lumOff val="40000"/>
                </a:schemeClr>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1625"/>
                  <c:y val="0.0539351851851852"/>
                </c:manualLayout>
              </c:layout>
              <c:tx>
                <c:rich>
                  <a:bodyPr rot="0" spcFirstLastPara="1" vertOverflow="clip" vert="horz" wrap="square" lIns="38100" tIns="19050" rIns="38100" bIns="19050" anchor="ctr" anchorCtr="1"/>
                  <a:lstStyle/>
                  <a:p>
                    <a:fld id="{9c8e8ac8-9d3c-4967-8ea9-fbcc9ba7f06b}"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72222222222222"/>
                  <c:y val="-0.0770833333333333"/>
                </c:manualLayout>
              </c:layout>
              <c:tx>
                <c:rich>
                  <a:bodyPr rot="0" spcFirstLastPara="1" vertOverflow="clip" vert="horz" wrap="square" lIns="38100" tIns="19050" rIns="38100" bIns="19050" anchor="ctr" anchorCtr="1"/>
                  <a:lstStyle/>
                  <a:p>
                    <a:fld id="{3597f401-818d-42b9-810a-b81832dffc0c}"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602777777777778"/>
                  <c:y val="0.05023148148148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clip" horzOverflow="clip" vert="horz" wrap="square" lIns="38100" tIns="19050" rIns="38100" bIns="19050" anchor="ctr" anchorCtr="1">
                <a:spAutoFit/>
              </a:bodyPr>
              <a:lstStyle/>
              <a:p>
                <a:pPr>
                  <a:defRPr lang="zh-CN" sz="12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[郑州.xlsx]专题A!$A$45:$A$47</c:f>
              <c:strCache>
                <c:ptCount val="3"/>
                <c:pt idx="0">
                  <c:v>非常了解</c:v>
                </c:pt>
                <c:pt idx="1">
                  <c:v>大概知道</c:v>
                </c:pt>
                <c:pt idx="2">
                  <c:v>完全不清楚</c:v>
                </c:pt>
              </c:strCache>
            </c:strRef>
          </c:cat>
          <c:val>
            <c:numRef>
              <c:f>[郑州.xlsx]专题A!$B$45:$B$47</c:f>
              <c:numCache>
                <c:formatCode>0.00%</c:formatCode>
                <c:ptCount val="3"/>
                <c:pt idx="0">
                  <c:v>0.3124</c:v>
                </c:pt>
                <c:pt idx="1">
                  <c:v>0.5832</c:v>
                </c:pt>
                <c:pt idx="2">
                  <c:v>0.1045</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对所在单位安全管理状况满意度评价</a:t>
            </a:r>
            <a:endParaRPr lang="zh-CN" altLang="en-US"/>
          </a:p>
        </c:rich>
      </c:tx>
      <c:layout/>
      <c:overlay val="0"/>
      <c:spPr>
        <a:noFill/>
        <a:ln>
          <a:noFill/>
        </a:ln>
        <a:effectLst/>
      </c:spPr>
    </c:title>
    <c:autoTitleDeleted val="0"/>
    <c:plotArea>
      <c:layout>
        <c:manualLayout>
          <c:layoutTarget val="inner"/>
          <c:xMode val="edge"/>
          <c:yMode val="edge"/>
          <c:x val="0.10925"/>
          <c:y val="0.172453703703704"/>
          <c:w val="0.857833333333333"/>
          <c:h val="0.607268518518518"/>
        </c:manualLayout>
      </c:layout>
      <c:barChart>
        <c:barDir val="col"/>
        <c:grouping val="clustered"/>
        <c:varyColors val="0"/>
        <c:ser>
          <c:idx val="1"/>
          <c:order val="1"/>
          <c:tx>
            <c:strRef>
              <c:f>[郑州.xlsx]专题A!$C$51</c:f>
              <c:strCache>
                <c:ptCount val="1"/>
                <c:pt idx="0">
                  <c:v>郑州占比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[郑州.xlsx]专题A!$A$52:$A$56</c:f>
              <c:strCache>
                <c:ptCount val="5"/>
                <c:pt idx="0">
                  <c:v>非常满意</c:v>
                </c:pt>
                <c:pt idx="1">
                  <c:v>满意</c:v>
                </c:pt>
                <c:pt idx="2">
                  <c:v>一般</c:v>
                </c:pt>
                <c:pt idx="3">
                  <c:v>不满意</c:v>
                </c:pt>
                <c:pt idx="4">
                  <c:v>非常不满意</c:v>
                </c:pt>
              </c:strCache>
            </c:strRef>
          </c:cat>
          <c:val>
            <c:numRef>
              <c:f>[郑州.xlsx]专题A!$C$52:$C$56</c:f>
              <c:numCache>
                <c:formatCode>0.00%</c:formatCode>
                <c:ptCount val="5"/>
                <c:pt idx="0">
                  <c:v>0.2963</c:v>
                </c:pt>
                <c:pt idx="1">
                  <c:v>0.4497</c:v>
                </c:pt>
                <c:pt idx="2">
                  <c:v>0.2197</c:v>
                </c:pt>
                <c:pt idx="3">
                  <c:v>0.032</c:v>
                </c:pt>
                <c:pt idx="4">
                  <c:v>0.0023</c:v>
                </c:pt>
              </c:numCache>
            </c:numRef>
          </c:val>
        </c:ser>
        <c:ser>
          <c:idx val="3"/>
          <c:order val="3"/>
          <c:tx>
            <c:strRef>
              <c:f>[郑州.xlsx]专题A!$E$51</c:f>
              <c:strCache>
                <c:ptCount val="1"/>
                <c:pt idx="0">
                  <c:v>河南占比</c:v>
                </c:pt>
              </c:strCache>
            </c:strRef>
          </c:tx>
          <c:spPr>
            <a:solidFill>
              <a:schemeClr val="accent1"/>
            </a:solidFill>
            <a:ln>
              <a:noFill/>
            </a:ln>
            <a:effectLst/>
          </c:spPr>
          <c:invertIfNegative val="0"/>
          <c:dLbls>
            <c:dLbl>
              <c:idx val="0"/>
              <c:layout>
                <c:manualLayout>
                  <c:x val="0.0355964052287582"/>
                  <c:y val="-0.04861736736736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1111111111111"/>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25"/>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4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[郑州.xlsx]专题A!$A$52:$A$56</c:f>
              <c:strCache>
                <c:ptCount val="5"/>
                <c:pt idx="0">
                  <c:v>非常满意</c:v>
                </c:pt>
                <c:pt idx="1">
                  <c:v>满意</c:v>
                </c:pt>
                <c:pt idx="2">
                  <c:v>一般</c:v>
                </c:pt>
                <c:pt idx="3">
                  <c:v>不满意</c:v>
                </c:pt>
                <c:pt idx="4">
                  <c:v>非常不满意</c:v>
                </c:pt>
              </c:strCache>
            </c:strRef>
          </c:cat>
          <c:val>
            <c:numRef>
              <c:f>[郑州.xlsx]专题A!$E$52:$E$56</c:f>
              <c:numCache>
                <c:formatCode>0.00%</c:formatCode>
                <c:ptCount val="5"/>
                <c:pt idx="0">
                  <c:v>0.3068</c:v>
                </c:pt>
                <c:pt idx="1">
                  <c:v>0.4229</c:v>
                </c:pt>
                <c:pt idx="2">
                  <c:v>0.238</c:v>
                </c:pt>
                <c:pt idx="3">
                  <c:v>0.026</c:v>
                </c:pt>
                <c:pt idx="4">
                  <c:v>0.0063</c:v>
                </c:pt>
              </c:numCache>
            </c:numRef>
          </c:val>
        </c:ser>
        <c:dLbls>
          <c:showLegendKey val="0"/>
          <c:showVal val="0"/>
          <c:showCatName val="0"/>
          <c:showSerName val="0"/>
          <c:showPercent val="0"/>
          <c:showBubbleSize val="0"/>
        </c:dLbls>
        <c:gapWidth val="219"/>
        <c:overlap val="-27"/>
        <c:axId val="377896176"/>
        <c:axId val="381755856"/>
        <c:extLst>
          <c:ext xmlns:c15="http://schemas.microsoft.com/office/drawing/2012/chart" uri="{02D57815-91ED-43cb-92C2-25804820EDAC}">
            <c15:filteredBarSeries>
              <c15:ser>
                <c:idx val="0"/>
                <c:order val="0"/>
                <c:tx>
                  <c:strRef>
                    <c:extLst>
                      <c:ext uri="{02D57815-91ED-43cb-92C2-25804820EDAC}">
                        <c15:formulaRef>
                          <c15:sqref>[郑州.xlsx]专题A!$B$51</c15:sqref>
                        </c15:formulaRef>
                      </c:ext>
                    </c:extLst>
                    <c:strCache>
                      <c:ptCount val="1"/>
                      <c:pt idx="0">
                        <c:v>郑州数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[郑州.xlsx]专题A!$A$52:$A$56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{259,393,192,28,2}</c15:sqref>
                        </c15:formulaRef>
                      </c:ext>
                    </c:extLst>
                    <c:numCache>
                      <c:formatCode>General</c:formatCode>
                      <c:ptCount val="5"/>
                      <c:pt idx="0">
                        <c:v>259</c:v>
                      </c:pt>
                      <c:pt idx="1">
                        <c:v>393</c:v>
                      </c:pt>
                      <c:pt idx="2">
                        <c:v>192</c:v>
                      </c:pt>
                      <c:pt idx="3">
                        <c:v>28</c:v>
                      </c:pt>
                      <c:pt idx="4">
                        <c:v>2</c:v>
                      </c:pt>
                    </c:numCache>
                  </c:numRef>
                </c:val>
              </c15:ser>
            </c15:filteredBarSeries>
            <c15:filteredBarSeries>
              <c15:ser>
                <c:idx val="2"/>
                <c:order val="2"/>
                <c:tx>
                  <c:strRef>
                    <c:extLst>
                      <c:ext uri="{02D57815-91ED-43cb-92C2-25804820EDAC}">
                        <c15:formulaRef>
                          <c15:sqref>[郑州.xlsx]专题A!$D$51</c15:sqref>
                        </c15:formulaRef>
                      </c:ext>
                    </c:extLst>
                    <c:strCache>
                      <c:ptCount val="1"/>
                      <c:pt idx="0">
                        <c:v>河南数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[郑州.xlsx]专题A!$A$52:$A$56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{637,878,494,54,13}</c15:sqref>
                        </c15:formulaRef>
                      </c:ext>
                    </c:extLst>
                    <c:numCache>
                      <c:formatCode>General</c:formatCode>
                      <c:ptCount val="5"/>
                      <c:pt idx="0">
                        <c:v>637</c:v>
                      </c:pt>
                      <c:pt idx="1">
                        <c:v>878</c:v>
                      </c:pt>
                      <c:pt idx="2">
                        <c:v>494</c:v>
                      </c:pt>
                      <c:pt idx="3">
                        <c:v>54</c:v>
                      </c:pt>
                      <c:pt idx="4">
                        <c:v>13</c:v>
                      </c:pt>
                    </c:numCache>
                  </c:numRef>
                </c:val>
              </c15:ser>
            </c15:filteredBarSeries>
          </c:ext>
        </c:extLst>
      </c:barChart>
      <c:catAx>
        <c:axId val="37789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755856"/>
        <c:crosses val="autoZero"/>
        <c:auto val="1"/>
        <c:lblAlgn val="ctr"/>
        <c:lblOffset val="100"/>
        <c:noMultiLvlLbl val="0"/>
      </c:catAx>
      <c:valAx>
        <c:axId val="381755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89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manualLayout>
          <c:layoutTarget val="inner"/>
          <c:xMode val="edge"/>
          <c:yMode val="edge"/>
          <c:x val="0.229090909090909"/>
          <c:y val="0.148480124707716"/>
          <c:w val="0.728524984948826"/>
          <c:h val="0.669017926734217"/>
        </c:manualLayout>
      </c:layout>
      <c:barChart>
        <c:barDir val="bar"/>
        <c:grouping val="clustered"/>
        <c:varyColors val="0"/>
        <c:ser>
          <c:idx val="1"/>
          <c:order val="1"/>
          <c:tx>
            <c:strRef>
              <c:f>[郑州.xlsx]专题A!$C$60</c:f>
              <c:strCache>
                <c:ptCount val="1"/>
                <c:pt idx="0">
                  <c:v>郑州占比</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[郑州.xlsx]专题A!$A$61:$A$69</c:f>
              <c:strCache>
                <c:ptCount val="9"/>
                <c:pt idx="0">
                  <c:v>应急演练</c:v>
                </c:pt>
                <c:pt idx="1">
                  <c:v>经费预算</c:v>
                </c:pt>
                <c:pt idx="2">
                  <c:v>贯彻落实</c:v>
                </c:pt>
                <c:pt idx="3">
                  <c:v>标准规范</c:v>
                </c:pt>
                <c:pt idx="4">
                  <c:v>安全运维能力</c:v>
                </c:pt>
                <c:pt idx="5">
                  <c:v>监测评估</c:v>
                </c:pt>
                <c:pt idx="6">
                  <c:v>规章制度</c:v>
                </c:pt>
                <c:pt idx="7">
                  <c:v>人才队伍</c:v>
                </c:pt>
                <c:pt idx="8">
                  <c:v>管理层网络安全意识</c:v>
                </c:pt>
              </c:strCache>
            </c:strRef>
          </c:cat>
          <c:val>
            <c:numRef>
              <c:f>[郑州.xlsx]专题A!$C$61:$C$69</c:f>
              <c:numCache>
                <c:formatCode>0.00%</c:formatCode>
                <c:ptCount val="9"/>
                <c:pt idx="0">
                  <c:v>0.371</c:v>
                </c:pt>
                <c:pt idx="1">
                  <c:v>0.457</c:v>
                </c:pt>
                <c:pt idx="2">
                  <c:v>0.4615</c:v>
                </c:pt>
                <c:pt idx="3">
                  <c:v>0.4751</c:v>
                </c:pt>
                <c:pt idx="4">
                  <c:v>0.4751</c:v>
                </c:pt>
                <c:pt idx="5">
                  <c:v>0.4932</c:v>
                </c:pt>
                <c:pt idx="6">
                  <c:v>0.5204</c:v>
                </c:pt>
                <c:pt idx="7">
                  <c:v>0.5249</c:v>
                </c:pt>
                <c:pt idx="8">
                  <c:v>0.6018</c:v>
                </c:pt>
              </c:numCache>
            </c:numRef>
          </c:val>
        </c:ser>
        <c:ser>
          <c:idx val="3"/>
          <c:order val="3"/>
          <c:tx>
            <c:strRef>
              <c:f>[郑州.xlsx]专题A!$E$60</c:f>
              <c:strCache>
                <c:ptCount val="1"/>
                <c:pt idx="0">
                  <c:v>河南占比</c:v>
                </c:pt>
              </c:strCache>
            </c:strRef>
          </c:tx>
          <c:spPr>
            <a:solidFill>
              <a:schemeClr val="accent6"/>
            </a:solidFill>
            <a:ln>
              <a:noFill/>
            </a:ln>
            <a:effectLst/>
          </c:spPr>
          <c:invertIfNegative val="0"/>
          <c:dLbls>
            <c:dLbl>
              <c:idx val="0"/>
              <c:layout>
                <c:manualLayout>
                  <c:x val="0.0020469596628537"/>
                  <c:y val="-0.0161730319563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97350993377483"/>
                  <c:y val="-0.019485580670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643024162120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61730319563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06742925948224"/>
                  <c:y val="-0.0161730319563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0469596628537"/>
                  <c:y val="-0.0163678877630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63678877630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99397953040337"/>
                  <c:y val="-0.00643024162120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[郑州.xlsx]专题A!$A$61:$A$69</c:f>
              <c:strCache>
                <c:ptCount val="9"/>
                <c:pt idx="0">
                  <c:v>应急演练</c:v>
                </c:pt>
                <c:pt idx="1">
                  <c:v>经费预算</c:v>
                </c:pt>
                <c:pt idx="2">
                  <c:v>贯彻落实</c:v>
                </c:pt>
                <c:pt idx="3">
                  <c:v>标准规范</c:v>
                </c:pt>
                <c:pt idx="4">
                  <c:v>安全运维能力</c:v>
                </c:pt>
                <c:pt idx="5">
                  <c:v>监测评估</c:v>
                </c:pt>
                <c:pt idx="6">
                  <c:v>规章制度</c:v>
                </c:pt>
                <c:pt idx="7">
                  <c:v>人才队伍</c:v>
                </c:pt>
                <c:pt idx="8">
                  <c:v>管理层网络安全意识</c:v>
                </c:pt>
              </c:strCache>
            </c:strRef>
          </c:cat>
          <c:val>
            <c:numRef>
              <c:f>[郑州.xlsx]专题A!$E$61:$E$69</c:f>
              <c:numCache>
                <c:formatCode>0.00%</c:formatCode>
                <c:ptCount val="9"/>
                <c:pt idx="0">
                  <c:v>0.3625</c:v>
                </c:pt>
                <c:pt idx="1">
                  <c:v>0.4268</c:v>
                </c:pt>
                <c:pt idx="2">
                  <c:v>0.4536</c:v>
                </c:pt>
                <c:pt idx="3">
                  <c:v>0.4982</c:v>
                </c:pt>
                <c:pt idx="4">
                  <c:v>0.4732</c:v>
                </c:pt>
                <c:pt idx="5">
                  <c:v>0.4964</c:v>
                </c:pt>
                <c:pt idx="6">
                  <c:v>0.5607</c:v>
                </c:pt>
                <c:pt idx="7">
                  <c:v>0.4821</c:v>
                </c:pt>
                <c:pt idx="8">
                  <c:v>0.5911</c:v>
                </c:pt>
              </c:numCache>
            </c:numRef>
          </c:val>
        </c:ser>
        <c:dLbls>
          <c:showLegendKey val="0"/>
          <c:showVal val="1"/>
          <c:showCatName val="0"/>
          <c:showSerName val="0"/>
          <c:showPercent val="0"/>
          <c:showBubbleSize val="0"/>
        </c:dLbls>
        <c:gapWidth val="182"/>
        <c:axId val="626486263"/>
        <c:axId val="776684207"/>
        <c:extLst>
          <c:ext xmlns:c15="http://schemas.microsoft.com/office/drawing/2012/chart" uri="{02D57815-91ED-43cb-92C2-25804820EDAC}">
            <c15:filteredBarSeries>
              <c15:ser>
                <c:idx val="0"/>
                <c:order val="0"/>
                <c:tx>
                  <c:strRef>
                    <c:extLst>
                      <c:ext uri="{02D57815-91ED-43cb-92C2-25804820EDAC}">
                        <c15:formulaRef>
                          <c15:sqref>[郑州.xlsx]专题A!$B$60</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[郑州.xlsx]专题A!$A$61:$A$69</c15:sqref>
                        </c15:formulaRef>
                      </c:ext>
                    </c:extLst>
                    <c:strCache>
                      <c:ptCount val="9"/>
                      <c:pt idx="0">
                        <c:v>应急演练</c:v>
                      </c:pt>
                      <c:pt idx="1">
                        <c:v>经费预算</c:v>
                      </c:pt>
                      <c:pt idx="2">
                        <c:v>贯彻落实</c:v>
                      </c:pt>
                      <c:pt idx="3">
                        <c:v>标准规范</c:v>
                      </c:pt>
                      <c:pt idx="4">
                        <c:v>安全运维能力</c:v>
                      </c:pt>
                      <c:pt idx="5">
                        <c:v>监测评估</c:v>
                      </c:pt>
                      <c:pt idx="6">
                        <c:v>规章制度</c:v>
                      </c:pt>
                      <c:pt idx="7">
                        <c:v>人才队伍</c:v>
                      </c:pt>
                      <c:pt idx="8">
                        <c:v>管理层网络安全意识</c:v>
                      </c:pt>
                    </c:strCache>
                  </c:strRef>
                </c:cat>
                <c:val>
                  <c:numRef>
                    <c:extLst>
                      <c:ext uri="{02D57815-91ED-43cb-92C2-25804820EDAC}">
                        <c15:formulaRef>
                          <c15:sqref>{82,101,102,105,105,109,115,116,133}</c15:sqref>
                        </c15:formulaRef>
                      </c:ext>
                    </c:extLst>
                    <c:numCache>
                      <c:formatCode>General</c:formatCode>
                      <c:ptCount val="9"/>
                      <c:pt idx="0">
                        <c:v>82</c:v>
                      </c:pt>
                      <c:pt idx="1">
                        <c:v>101</c:v>
                      </c:pt>
                      <c:pt idx="2">
                        <c:v>102</c:v>
                      </c:pt>
                      <c:pt idx="3">
                        <c:v>105</c:v>
                      </c:pt>
                      <c:pt idx="4">
                        <c:v>105</c:v>
                      </c:pt>
                      <c:pt idx="5">
                        <c:v>109</c:v>
                      </c:pt>
                      <c:pt idx="6">
                        <c:v>115</c:v>
                      </c:pt>
                      <c:pt idx="7">
                        <c:v>116</c:v>
                      </c:pt>
                      <c:pt idx="8">
                        <c:v>133</c:v>
                      </c:pt>
                    </c:numCache>
                  </c:numRef>
                </c:val>
              </c15:ser>
            </c15:filteredBarSeries>
            <c15:filteredBarSeries>
              <c15:ser>
                <c:idx val="2"/>
                <c:order val="2"/>
                <c:tx>
                  <c:strRef>
                    <c:extLst>
                      <c:ext uri="{02D57815-91ED-43cb-92C2-25804820EDAC}">
                        <c15:formulaRef>
                          <c15:sqref>[郑州.xlsx]专题A!$D$60</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[郑州.xlsx]专题A!$A$61:$A$69</c15:sqref>
                        </c15:formulaRef>
                      </c:ext>
                    </c:extLst>
                    <c:strCache>
                      <c:ptCount val="9"/>
                      <c:pt idx="0">
                        <c:v>应急演练</c:v>
                      </c:pt>
                      <c:pt idx="1">
                        <c:v>经费预算</c:v>
                      </c:pt>
                      <c:pt idx="2">
                        <c:v>贯彻落实</c:v>
                      </c:pt>
                      <c:pt idx="3">
                        <c:v>标准规范</c:v>
                      </c:pt>
                      <c:pt idx="4">
                        <c:v>安全运维能力</c:v>
                      </c:pt>
                      <c:pt idx="5">
                        <c:v>监测评估</c:v>
                      </c:pt>
                      <c:pt idx="6">
                        <c:v>规章制度</c:v>
                      </c:pt>
                      <c:pt idx="7">
                        <c:v>人才队伍</c:v>
                      </c:pt>
                      <c:pt idx="8">
                        <c:v>管理层网络安全意识</c:v>
                      </c:pt>
                    </c:strCache>
                  </c:strRef>
                </c:cat>
                <c:val>
                  <c:numRef>
                    <c:extLst>
                      <c:ext uri="{02D57815-91ED-43cb-92C2-25804820EDAC}">
                        <c15:formulaRef>
                          <c15:sqref>{203,239,254,279,265,278,314,270,331}</c15:sqref>
                        </c15:formulaRef>
                      </c:ext>
                    </c:extLst>
                    <c:numCache>
                      <c:formatCode>General</c:formatCode>
                      <c:ptCount val="9"/>
                      <c:pt idx="0">
                        <c:v>203</c:v>
                      </c:pt>
                      <c:pt idx="1">
                        <c:v>239</c:v>
                      </c:pt>
                      <c:pt idx="2">
                        <c:v>254</c:v>
                      </c:pt>
                      <c:pt idx="3">
                        <c:v>279</c:v>
                      </c:pt>
                      <c:pt idx="4">
                        <c:v>265</c:v>
                      </c:pt>
                      <c:pt idx="5">
                        <c:v>278</c:v>
                      </c:pt>
                      <c:pt idx="6">
                        <c:v>314</c:v>
                      </c:pt>
                      <c:pt idx="7">
                        <c:v>270</c:v>
                      </c:pt>
                      <c:pt idx="8">
                        <c:v>331</c:v>
                      </c:pt>
                    </c:numCache>
                  </c:numRef>
                </c:val>
              </c15:ser>
            </c15:filteredBarSeries>
          </c:ext>
        </c:extLst>
      </c:barChart>
      <c:catAx>
        <c:axId val="6264862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6684207"/>
        <c:crosses val="autoZero"/>
        <c:auto val="1"/>
        <c:lblAlgn val="ctr"/>
        <c:lblOffset val="100"/>
        <c:noMultiLvlLbl val="0"/>
      </c:catAx>
      <c:valAx>
        <c:axId val="7766842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4862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d67afbe3-7af2-467e-9f2a-00d4415c9efd}"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clip" vert="horz" wrap="square" lIns="38100" tIns="19050" rIns="38100" bIns="19050" anchor="ctr" anchorCtr="1"/>
                  <a:lstStyle/>
                  <a:p>
                    <a:fld id="{b5bcb68f-89c3-470d-8b16-9f622921f8a0}"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[郑州.xlsx]专题A!$A$74:$A$76</c:f>
              <c:strCache>
                <c:ptCount val="3"/>
                <c:pt idx="0">
                  <c:v>是</c:v>
                </c:pt>
                <c:pt idx="1">
                  <c:v>否</c:v>
                </c:pt>
                <c:pt idx="2">
                  <c:v>不知道</c:v>
                </c:pt>
              </c:strCache>
            </c:strRef>
          </c:cat>
          <c:val>
            <c:numRef>
              <c:f>[郑州.xlsx]专题A!$C$74:$C$76</c:f>
              <c:numCache>
                <c:formatCode>0.00%</c:formatCode>
                <c:ptCount val="3"/>
                <c:pt idx="0">
                  <c:v>0.6775</c:v>
                </c:pt>
                <c:pt idx="1">
                  <c:v>0.1577</c:v>
                </c:pt>
                <c:pt idx="2">
                  <c:v>0.1648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a41989c0-a7ed-4af6-ab3e-957498f11a11}"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clip" vert="horz" wrap="square" lIns="38100" tIns="19050" rIns="38100" bIns="19050" anchor="ctr" anchorCtr="1"/>
                  <a:lstStyle/>
                  <a:p>
                    <a:fld id="{ad874e64-11eb-4b42-9576-2f612016961e}"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[郑州.xlsx]专题A!$A$81:$A$83</c:f>
              <c:strCache>
                <c:ptCount val="3"/>
                <c:pt idx="0">
                  <c:v>是</c:v>
                </c:pt>
                <c:pt idx="1">
                  <c:v>否</c:v>
                </c:pt>
                <c:pt idx="2">
                  <c:v>不知道</c:v>
                </c:pt>
              </c:strCache>
            </c:strRef>
          </c:cat>
          <c:val>
            <c:numRef>
              <c:f>[郑州.xlsx]专题A!$B$81:$B$83</c:f>
              <c:numCache>
                <c:formatCode>0.00%</c:formatCode>
                <c:ptCount val="3"/>
                <c:pt idx="0">
                  <c:v>0.7287</c:v>
                </c:pt>
                <c:pt idx="1" c:formatCode="0%">
                  <c:v>0.11</c:v>
                </c:pt>
                <c:pt idx="2">
                  <c:v>0.1614</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4f316e44-9b03-4e54-b8ca-49d2d81cd9e1}"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clip" vert="horz" wrap="square" lIns="38100" tIns="19050" rIns="38100" bIns="19050" anchor="ctr" anchorCtr="1"/>
                  <a:lstStyle/>
                  <a:p>
                    <a:fld id="{6a78a4a5-e001-46fd-b4be-d5d8682a89af}"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[郑州.xlsx]专题A!$A$88:$A$90</c:f>
              <c:strCache>
                <c:ptCount val="3"/>
                <c:pt idx="0">
                  <c:v>是</c:v>
                </c:pt>
                <c:pt idx="1">
                  <c:v>否</c:v>
                </c:pt>
                <c:pt idx="2">
                  <c:v>不知道</c:v>
                </c:pt>
              </c:strCache>
            </c:strRef>
          </c:cat>
          <c:val>
            <c:numRef>
              <c:f>[郑州.xlsx]专题A!$C$88:$C$90</c:f>
              <c:numCache>
                <c:formatCode>0.00%</c:formatCode>
                <c:ptCount val="3"/>
                <c:pt idx="0">
                  <c:v>0.5668</c:v>
                </c:pt>
                <c:pt idx="1">
                  <c:v>0.1437</c:v>
                </c:pt>
                <c:pt idx="2">
                  <c:v>0.2895</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barChart>
        <c:barDir val="bar"/>
        <c:grouping val="clustered"/>
        <c:varyColors val="0"/>
        <c:ser>
          <c:idx val="1"/>
          <c:order val="1"/>
          <c:tx>
            <c:strRef>
              <c:f>[郑州.xlsx]专题A!$C$94</c:f>
              <c:strCache>
                <c:ptCount val="1"/>
                <c:pt idx="0">
                  <c:v>郑州占比</c:v>
                </c:pt>
              </c:strCache>
            </c:strRef>
          </c:tx>
          <c:spPr>
            <a:solidFill>
              <a:schemeClr val="accent6"/>
            </a:solidFill>
            <a:ln>
              <a:noFill/>
            </a:ln>
            <a:effectLst/>
          </c:spPr>
          <c:invertIfNegative val="0"/>
          <c:dLbls>
            <c:dLbl>
              <c:idx val="11"/>
              <c:layout>
                <c:manualLayout>
                  <c:x val="0"/>
                  <c:y val="0.0251278964790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[郑州.xlsx]专题A!$A$95:$A$106</c:f>
              <c:strCache>
                <c:ptCount val="12"/>
                <c:pt idx="0">
                  <c:v>不知道</c:v>
                </c:pt>
                <c:pt idx="1">
                  <c:v>《中华人民共和国密码法》</c:v>
                </c:pt>
                <c:pt idx="2">
                  <c:v>《全国人大常委会关于维护互联网安全的决定》</c:v>
                </c:pt>
                <c:pt idx="3">
                  <c:v>《App违法违规收集使用个人信息行为认定方法》</c:v>
                </c:pt>
                <c:pt idx="4">
                  <c:v>《网络安全审查办法》</c:v>
                </c:pt>
                <c:pt idx="5">
                  <c:v>《中华人民共和国反恐怖主义法》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[郑州.xlsx]专题A!$C$95:$C$106</c:f>
              <c:numCache>
                <c:formatCode>0.00%</c:formatCode>
                <c:ptCount val="12"/>
                <c:pt idx="0">
                  <c:v>0.0886</c:v>
                </c:pt>
                <c:pt idx="1">
                  <c:v>0.3147</c:v>
                </c:pt>
                <c:pt idx="2">
                  <c:v>0.3391</c:v>
                </c:pt>
                <c:pt idx="3">
                  <c:v>0.3473</c:v>
                </c:pt>
                <c:pt idx="4">
                  <c:v>0.3859</c:v>
                </c:pt>
                <c:pt idx="5">
                  <c:v>0.4114</c:v>
                </c:pt>
                <c:pt idx="6">
                  <c:v>0.442</c:v>
                </c:pt>
                <c:pt idx="7">
                  <c:v>0.498</c:v>
                </c:pt>
                <c:pt idx="8">
                  <c:v>0.5835</c:v>
                </c:pt>
                <c:pt idx="9">
                  <c:v>0.6578</c:v>
                </c:pt>
                <c:pt idx="10">
                  <c:v>0.6782</c:v>
                </c:pt>
                <c:pt idx="11">
                  <c:v>0.8574</c:v>
                </c:pt>
              </c:numCache>
            </c:numRef>
          </c:val>
        </c:ser>
        <c:ser>
          <c:idx val="3"/>
          <c:order val="3"/>
          <c:tx>
            <c:strRef>
              <c:f>[郑州.xlsx]专题A!$E$94</c:f>
              <c:strCache>
                <c:ptCount val="1"/>
                <c:pt idx="0">
                  <c:v>河南占比</c:v>
                </c:pt>
              </c:strCache>
            </c:strRef>
          </c:tx>
          <c:spPr>
            <a:solidFill>
              <a:schemeClr val="tx2">
                <a:lumMod val="60000"/>
                <a:lumOff val="40000"/>
              </a:schemeClr>
            </a:solidFill>
            <a:ln>
              <a:noFill/>
            </a:ln>
            <a:effectLst/>
          </c:spPr>
          <c:invertIfNegative val="0"/>
          <c:dLbls>
            <c:dLbl>
              <c:idx val="11"/>
              <c:layout>
                <c:manualLayout>
                  <c:x val="0"/>
                  <c:y val="-0.02256996689738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[郑州.xlsx]专题A!$A$95:$A$106</c:f>
              <c:strCache>
                <c:ptCount val="12"/>
                <c:pt idx="0">
                  <c:v>不知道</c:v>
                </c:pt>
                <c:pt idx="1">
                  <c:v>《中华人民共和国密码法》</c:v>
                </c:pt>
                <c:pt idx="2">
                  <c:v>《全国人大常委会关于维护互联网安全的决定》</c:v>
                </c:pt>
                <c:pt idx="3">
                  <c:v>《App违法违规收集使用个人信息行为认定方法》</c:v>
                </c:pt>
                <c:pt idx="4">
                  <c:v>《网络安全审查办法》</c:v>
                </c:pt>
                <c:pt idx="5">
                  <c:v>《中华人民共和国反恐怖主义法》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[郑州.xlsx]专题A!$E$95:$E$106</c:f>
              <c:numCache>
                <c:formatCode>0.00%</c:formatCode>
                <c:ptCount val="12"/>
                <c:pt idx="0">
                  <c:v>0.0881</c:v>
                </c:pt>
                <c:pt idx="1">
                  <c:v>0.3326</c:v>
                </c:pt>
                <c:pt idx="2">
                  <c:v>0.3627</c:v>
                </c:pt>
                <c:pt idx="3">
                  <c:v>0.3545</c:v>
                </c:pt>
                <c:pt idx="4">
                  <c:v>0.4022</c:v>
                </c:pt>
                <c:pt idx="5">
                  <c:v>0.4246</c:v>
                </c:pt>
                <c:pt idx="6">
                  <c:v>0.4499</c:v>
                </c:pt>
                <c:pt idx="7">
                  <c:v>0.4946</c:v>
                </c:pt>
                <c:pt idx="8">
                  <c:v>0.5905</c:v>
                </c:pt>
                <c:pt idx="9">
                  <c:v>0.6455</c:v>
                </c:pt>
                <c:pt idx="10">
                  <c:v>0.6596</c:v>
                </c:pt>
                <c:pt idx="11">
                  <c:v>0.8436</c:v>
                </c:pt>
              </c:numCache>
            </c:numRef>
          </c:val>
        </c:ser>
        <c:dLbls>
          <c:showLegendKey val="0"/>
          <c:showVal val="1"/>
          <c:showCatName val="0"/>
          <c:showSerName val="0"/>
          <c:showPercent val="0"/>
          <c:showBubbleSize val="0"/>
        </c:dLbls>
        <c:gapWidth val="182"/>
        <c:axId val="814198112"/>
        <c:axId val="96823172"/>
        <c:extLst>
          <c:ext xmlns:c15="http://schemas.microsoft.com/office/drawing/2012/chart" uri="{02D57815-91ED-43cb-92C2-25804820EDAC}">
            <c15:filteredBarSeries>
              <c15:ser>
                <c:idx val="0"/>
                <c:order val="0"/>
                <c:tx>
                  <c:strRef>
                    <c:extLst>
                      <c:ext uri="{02D57815-91ED-43cb-92C2-25804820EDAC}">
                        <c15:formulaRef>
                          <c15:sqref>[郑州.xlsx]专题A!$B$94</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[郑州.xlsx]专题A!$A$95:$A$106</c15:sqref>
                        </c15:formulaRef>
                      </c:ext>
                    </c:extLst>
                    <c:strCache>
                      <c:ptCount val="12"/>
                      <c:pt idx="0">
                        <c:v>不知道</c:v>
                      </c:pt>
                      <c:pt idx="1">
                        <c:v>《中华人民共和国密码法》</c:v>
                      </c:pt>
                      <c:pt idx="2">
                        <c:v>《全国人大常委会关于维护互联网安全的决定》</c:v>
                      </c:pt>
                      <c:pt idx="3">
                        <c:v>《App违法违规收集使用个人信息行为认定方法》</c:v>
                      </c:pt>
                      <c:pt idx="4">
                        <c:v>《网络安全审查办法》</c:v>
                      </c:pt>
                      <c:pt idx="5">
                        <c:v>《中华人民共和国反恐怖主义法》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extLst>
                      <c:ext uri="{02D57815-91ED-43cb-92C2-25804820EDAC}">
                        <c15:formulaRef>
                          <c15:sqref>{87,309,333,341,379,404,434,489,573,646,666,842}</c15:sqref>
                        </c15:formulaRef>
                      </c:ext>
                    </c:extLst>
                    <c:numCache>
                      <c:formatCode>General</c:formatCode>
                      <c:ptCount val="12"/>
                      <c:pt idx="0">
                        <c:v>87</c:v>
                      </c:pt>
                      <c:pt idx="1">
                        <c:v>309</c:v>
                      </c:pt>
                      <c:pt idx="2">
                        <c:v>333</c:v>
                      </c:pt>
                      <c:pt idx="3">
                        <c:v>341</c:v>
                      </c:pt>
                      <c:pt idx="4">
                        <c:v>379</c:v>
                      </c:pt>
                      <c:pt idx="5">
                        <c:v>404</c:v>
                      </c:pt>
                      <c:pt idx="6">
                        <c:v>434</c:v>
                      </c:pt>
                      <c:pt idx="7">
                        <c:v>489</c:v>
                      </c:pt>
                      <c:pt idx="8">
                        <c:v>573</c:v>
                      </c:pt>
                      <c:pt idx="9">
                        <c:v>646</c:v>
                      </c:pt>
                      <c:pt idx="10">
                        <c:v>666</c:v>
                      </c:pt>
                      <c:pt idx="11">
                        <c:v>842</c:v>
                      </c:pt>
                    </c:numCache>
                  </c:numRef>
                </c:val>
              </c15:ser>
            </c15:filteredBarSeries>
            <c15:filteredBarSeries>
              <c15:ser>
                <c:idx val="2"/>
                <c:order val="2"/>
                <c:tx>
                  <c:strRef>
                    <c:extLst>
                      <c:ext uri="{02D57815-91ED-43cb-92C2-25804820EDAC}">
                        <c15:formulaRef>
                          <c15:sqref>[郑州.xlsx]专题A!$D$94</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[郑州.xlsx]专题A!$A$95:$A$106</c15:sqref>
                        </c15:formulaRef>
                      </c:ext>
                    </c:extLst>
                    <c:strCache>
                      <c:ptCount val="12"/>
                      <c:pt idx="0">
                        <c:v>不知道</c:v>
                      </c:pt>
                      <c:pt idx="1">
                        <c:v>《中华人民共和国密码法》</c:v>
                      </c:pt>
                      <c:pt idx="2">
                        <c:v>《全国人大常委会关于维护互联网安全的决定》</c:v>
                      </c:pt>
                      <c:pt idx="3">
                        <c:v>《App违法违规收集使用个人信息行为认定方法》</c:v>
                      </c:pt>
                      <c:pt idx="4">
                        <c:v>《网络安全审查办法》</c:v>
                      </c:pt>
                      <c:pt idx="5">
                        <c:v>《中华人民共和国反恐怖主义法》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extLst>
                      <c:ext uri="{02D57815-91ED-43cb-92C2-25804820EDAC}">
                        <c15:formulaRef>
                          <c15:sqref>{205,774,844,825,936,988,1047,1151,1374,1502,1535,1963}</c15:sqref>
                        </c15:formulaRef>
                      </c:ext>
                    </c:extLst>
                    <c:numCache>
                      <c:formatCode>General</c:formatCode>
                      <c:ptCount val="12"/>
                      <c:pt idx="0">
                        <c:v>205</c:v>
                      </c:pt>
                      <c:pt idx="1">
                        <c:v>774</c:v>
                      </c:pt>
                      <c:pt idx="2">
                        <c:v>844</c:v>
                      </c:pt>
                      <c:pt idx="3">
                        <c:v>825</c:v>
                      </c:pt>
                      <c:pt idx="4">
                        <c:v>936</c:v>
                      </c:pt>
                      <c:pt idx="5">
                        <c:v>988</c:v>
                      </c:pt>
                      <c:pt idx="6">
                        <c:v>1047</c:v>
                      </c:pt>
                      <c:pt idx="7">
                        <c:v>1151</c:v>
                      </c:pt>
                      <c:pt idx="8">
                        <c:v>1374</c:v>
                      </c:pt>
                      <c:pt idx="9">
                        <c:v>1502</c:v>
                      </c:pt>
                      <c:pt idx="10">
                        <c:v>1535</c:v>
                      </c:pt>
                      <c:pt idx="11">
                        <c:v>1963</c:v>
                      </c:pt>
                    </c:numCache>
                  </c:numRef>
                </c:val>
              </c15:ser>
            </c15:filteredBarSeries>
          </c:ext>
        </c:extLst>
      </c:barChart>
      <c:catAx>
        <c:axId val="8141981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23172"/>
        <c:crosses val="autoZero"/>
        <c:auto val="1"/>
        <c:lblAlgn val="ctr"/>
        <c:lblOffset val="100"/>
        <c:noMultiLvlLbl val="0"/>
      </c:catAx>
      <c:valAx>
        <c:axId val="968231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198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barChart>
        <c:barDir val="bar"/>
        <c:grouping val="clustered"/>
        <c:varyColors val="0"/>
        <c:ser>
          <c:idx val="1"/>
          <c:order val="1"/>
          <c:tx>
            <c:strRef>
              <c:f>[郑州.xlsx]专题A!$C$110</c:f>
              <c:strCache>
                <c:ptCount val="1"/>
                <c:pt idx="0">
                  <c:v>郑州占比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[郑州.xlsx]专题A!$A$111:$A$122</c:f>
              <c:strCache>
                <c:ptCount val="12"/>
                <c:pt idx="0">
                  <c:v>其他</c:v>
                </c:pt>
                <c:pt idx="1">
                  <c:v>免费工具提供</c:v>
                </c:pt>
                <c:pt idx="2">
                  <c:v>操作指南宣传推广</c:v>
                </c:pt>
                <c:pt idx="3">
                  <c:v>技能竞赛</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f>[郑州.xlsx]专题A!$C$111:$C$122</c:f>
              <c:numCache>
                <c:formatCode>0.00%</c:formatCode>
                <c:ptCount val="12"/>
                <c:pt idx="0">
                  <c:v>0.051</c:v>
                </c:pt>
                <c:pt idx="1">
                  <c:v>0.249</c:v>
                </c:pt>
                <c:pt idx="2">
                  <c:v>0.2908</c:v>
                </c:pt>
                <c:pt idx="3">
                  <c:v>0.2949</c:v>
                </c:pt>
                <c:pt idx="4">
                  <c:v>0.3173</c:v>
                </c:pt>
                <c:pt idx="5">
                  <c:v>0.3806</c:v>
                </c:pt>
                <c:pt idx="6">
                  <c:v>0.449</c:v>
                </c:pt>
                <c:pt idx="7">
                  <c:v>0.4898</c:v>
                </c:pt>
                <c:pt idx="8">
                  <c:v>0.499</c:v>
                </c:pt>
                <c:pt idx="9">
                  <c:v>0.5071</c:v>
                </c:pt>
                <c:pt idx="10">
                  <c:v>0.5969</c:v>
                </c:pt>
                <c:pt idx="11">
                  <c:v>0.7755</c:v>
                </c:pt>
              </c:numCache>
            </c:numRef>
          </c:val>
        </c:ser>
        <c:ser>
          <c:idx val="3"/>
          <c:order val="3"/>
          <c:tx>
            <c:strRef>
              <c:f>[郑州.xlsx]专题A!$E$110</c:f>
              <c:strCache>
                <c:ptCount val="1"/>
                <c:pt idx="0">
                  <c:v>河南占比</c:v>
                </c:pt>
              </c:strCache>
            </c:strRef>
          </c:tx>
          <c:spPr>
            <a:solidFill>
              <a:schemeClr val="tx2">
                <a:lumMod val="60000"/>
                <a:lumOff val="40000"/>
              </a:schemeClr>
            </a:solidFill>
            <a:ln>
              <a:noFill/>
            </a:ln>
            <a:effectLst/>
          </c:spPr>
          <c:invertIfNegative val="0"/>
          <c:dLbls>
            <c:dLbl>
              <c:idx val="0"/>
              <c:layout>
                <c:manualLayout>
                  <c:x val="-0.00204523580365736"/>
                  <c:y val="-0.01292834890965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97016361886429"/>
                  <c:y val="-0.0130841121495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97016361886429"/>
                  <c:y val="-0.01292834890965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08722741433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2492781520693"/>
                  <c:y val="-0.0182242990654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04523580365736"/>
                  <c:y val="-0.015576323987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04523580365736"/>
                  <c:y val="-0.015576323987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2336448598130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92492781520693"/>
                  <c:y val="-0.015576323987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043613707165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204523580365736"/>
                  <c:y val="-0.0102803738317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15576323987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[郑州.xlsx]专题A!$A$111:$A$122</c:f>
              <c:strCache>
                <c:ptCount val="12"/>
                <c:pt idx="0">
                  <c:v>其他</c:v>
                </c:pt>
                <c:pt idx="1">
                  <c:v>免费工具提供</c:v>
                </c:pt>
                <c:pt idx="2">
                  <c:v>操作指南宣传推广</c:v>
                </c:pt>
                <c:pt idx="3">
                  <c:v>技能竞赛</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f>[郑州.xlsx]专题A!$E$111:$E$122</c:f>
              <c:numCache>
                <c:formatCode>0.00%</c:formatCode>
                <c:ptCount val="12"/>
                <c:pt idx="0">
                  <c:v>0.078</c:v>
                </c:pt>
                <c:pt idx="1">
                  <c:v>0.2543</c:v>
                </c:pt>
                <c:pt idx="2">
                  <c:v>0.2944</c:v>
                </c:pt>
                <c:pt idx="3">
                  <c:v>0.2935</c:v>
                </c:pt>
                <c:pt idx="4">
                  <c:v>0.3151</c:v>
                </c:pt>
                <c:pt idx="5">
                  <c:v>0.3862</c:v>
                </c:pt>
                <c:pt idx="6">
                  <c:v>0.447</c:v>
                </c:pt>
                <c:pt idx="7">
                  <c:v>0.4888</c:v>
                </c:pt>
                <c:pt idx="8">
                  <c:v>0.5086</c:v>
                </c:pt>
                <c:pt idx="9">
                  <c:v>0.5069</c:v>
                </c:pt>
                <c:pt idx="10">
                  <c:v>0.6069</c:v>
                </c:pt>
                <c:pt idx="11">
                  <c:v>0.7582</c:v>
                </c:pt>
              </c:numCache>
            </c:numRef>
          </c:val>
        </c:ser>
        <c:dLbls>
          <c:showLegendKey val="0"/>
          <c:showVal val="1"/>
          <c:showCatName val="0"/>
          <c:showSerName val="0"/>
          <c:showPercent val="0"/>
          <c:showBubbleSize val="0"/>
        </c:dLbls>
        <c:gapWidth val="182"/>
        <c:axId val="688027771"/>
        <c:axId val="104379569"/>
        <c:extLst>
          <c:ext xmlns:c15="http://schemas.microsoft.com/office/drawing/2012/chart" uri="{02D57815-91ED-43cb-92C2-25804820EDAC}">
            <c15:filteredBarSeries>
              <c15:ser>
                <c:idx val="0"/>
                <c:order val="0"/>
                <c:tx>
                  <c:strRef>
                    <c:extLst>
                      <c:ext uri="{02D57815-91ED-43cb-92C2-25804820EDAC}">
                        <c15:formulaRef>
                          <c15:sqref>[郑州.xlsx]专题A!$B$110</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[郑州.xlsx]专题A!$A$111:$A$122</c15:sqref>
                        </c15:formulaRef>
                      </c:ext>
                    </c:extLst>
                    <c:strCache>
                      <c:ptCount val="12"/>
                      <c:pt idx="0">
                        <c:v>其他</c:v>
                      </c:pt>
                      <c:pt idx="1">
                        <c:v>免费工具提供</c:v>
                      </c:pt>
                      <c:pt idx="2">
                        <c:v>操作指南宣传推广</c:v>
                      </c:pt>
                      <c:pt idx="3">
                        <c:v>技能竞赛</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extLst>
                      <c:ext uri="{02D57815-91ED-43cb-92C2-25804820EDAC}">
                        <c15:formulaRef>
                          <c15:sqref>{50,244,285,289,311,373,440,480,489,497,585,760}</c15:sqref>
                        </c15:formulaRef>
                      </c:ext>
                    </c:extLst>
                    <c:numCache>
                      <c:formatCode>General</c:formatCode>
                      <c:ptCount val="12"/>
                      <c:pt idx="0">
                        <c:v>50</c:v>
                      </c:pt>
                      <c:pt idx="1">
                        <c:v>244</c:v>
                      </c:pt>
                      <c:pt idx="2">
                        <c:v>285</c:v>
                      </c:pt>
                      <c:pt idx="3">
                        <c:v>289</c:v>
                      </c:pt>
                      <c:pt idx="4">
                        <c:v>311</c:v>
                      </c:pt>
                      <c:pt idx="5">
                        <c:v>373</c:v>
                      </c:pt>
                      <c:pt idx="6">
                        <c:v>440</c:v>
                      </c:pt>
                      <c:pt idx="7">
                        <c:v>480</c:v>
                      </c:pt>
                      <c:pt idx="8">
                        <c:v>489</c:v>
                      </c:pt>
                      <c:pt idx="9">
                        <c:v>497</c:v>
                      </c:pt>
                      <c:pt idx="10">
                        <c:v>585</c:v>
                      </c:pt>
                      <c:pt idx="11">
                        <c:v>760</c:v>
                      </c:pt>
                    </c:numCache>
                  </c:numRef>
                </c:val>
              </c15:ser>
            </c15:filteredBarSeries>
            <c15:filteredBarSeries>
              <c15:ser>
                <c:idx val="2"/>
                <c:order val="2"/>
                <c:tx>
                  <c:strRef>
                    <c:extLst>
                      <c:ext uri="{02D57815-91ED-43cb-92C2-25804820EDAC}">
                        <c15:formulaRef>
                          <c15:sqref>[郑州.xlsx]专题A!$D$110</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[郑州.xlsx]专题A!$A$111:$A$122</c15:sqref>
                        </c15:formulaRef>
                      </c:ext>
                    </c:extLst>
                    <c:strCache>
                      <c:ptCount val="12"/>
                      <c:pt idx="0">
                        <c:v>其他</c:v>
                      </c:pt>
                      <c:pt idx="1">
                        <c:v>免费工具提供</c:v>
                      </c:pt>
                      <c:pt idx="2">
                        <c:v>操作指南宣传推广</c:v>
                      </c:pt>
                      <c:pt idx="3">
                        <c:v>技能竞赛</c:v>
                      </c:pt>
                      <c:pt idx="4">
                        <c:v>标准制定实施</c:v>
                      </c:pt>
                      <c:pt idx="5">
                        <c:v>协调处理</c:v>
                      </c:pt>
                      <c:pt idx="6">
                        <c:v>投诉举报</c:v>
                      </c:pt>
                      <c:pt idx="7">
                        <c:v>安全通报和风险提示</c:v>
                      </c:pt>
                      <c:pt idx="8">
                        <c:v>信息查询</c:v>
                      </c:pt>
                      <c:pt idx="9">
                        <c:v>监督检查</c:v>
                      </c:pt>
                      <c:pt idx="10">
                        <c:v>教育培训</c:v>
                      </c:pt>
                      <c:pt idx="11">
                        <c:v>知识普及</c:v>
                      </c:pt>
                    </c:strCache>
                  </c:strRef>
                </c:cat>
                <c:val>
                  <c:numRef>
                    <c:extLst>
                      <c:ext uri="{02D57815-91ED-43cb-92C2-25804820EDAC}">
                        <c15:formulaRef>
                          <c15:sqref>{181,590,683,681,731,896,1037,1134,1180,1176,1408,1759}</c15:sqref>
                        </c15:formulaRef>
                      </c:ext>
                    </c:extLst>
                    <c:numCache>
                      <c:formatCode>General</c:formatCode>
                      <c:ptCount val="12"/>
                      <c:pt idx="0">
                        <c:v>181</c:v>
                      </c:pt>
                      <c:pt idx="1">
                        <c:v>590</c:v>
                      </c:pt>
                      <c:pt idx="2">
                        <c:v>683</c:v>
                      </c:pt>
                      <c:pt idx="3">
                        <c:v>681</c:v>
                      </c:pt>
                      <c:pt idx="4">
                        <c:v>731</c:v>
                      </c:pt>
                      <c:pt idx="5">
                        <c:v>896</c:v>
                      </c:pt>
                      <c:pt idx="6">
                        <c:v>1037</c:v>
                      </c:pt>
                      <c:pt idx="7">
                        <c:v>1134</c:v>
                      </c:pt>
                      <c:pt idx="8">
                        <c:v>1180</c:v>
                      </c:pt>
                      <c:pt idx="9">
                        <c:v>1176</c:v>
                      </c:pt>
                      <c:pt idx="10">
                        <c:v>1408</c:v>
                      </c:pt>
                      <c:pt idx="11">
                        <c:v>1759</c:v>
                      </c:pt>
                    </c:numCache>
                  </c:numRef>
                </c:val>
              </c15:ser>
            </c15:filteredBarSeries>
          </c:ext>
        </c:extLst>
      </c:barChart>
      <c:catAx>
        <c:axId val="6880277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379569"/>
        <c:crosses val="autoZero"/>
        <c:auto val="1"/>
        <c:lblAlgn val="ctr"/>
        <c:lblOffset val="100"/>
        <c:noMultiLvlLbl val="0"/>
      </c:catAx>
      <c:valAx>
        <c:axId val="1043795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0277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[郑州.xlsx]主卷!$C$19</c:f>
              <c:strCache>
                <c:ptCount val="1"/>
                <c:pt idx="0">
                  <c:v>郑州占比</c:v>
                </c:pt>
              </c:strCache>
            </c:strRef>
          </c:tx>
          <c:spPr>
            <a:solidFill>
              <a:schemeClr val="accent2"/>
            </a:solidFill>
            <a:ln>
              <a:noFill/>
            </a:ln>
            <a:effectLst/>
          </c:spPr>
          <c:invertIfNegative val="0"/>
          <c:dLbls>
            <c:dLbl>
              <c:idx val="0"/>
              <c:layout>
                <c:manualLayout>
                  <c:x val="-0.0208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4738878143133"/>
                  <c:y val="0.01190476190476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34235976789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54738878143133"/>
                  <c:y val="-0.008928571428571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[郑州.xlsx]主卷!$A$20:$A$26</c:f>
              <c:strCache>
                <c:ptCount val="7"/>
                <c:pt idx="0">
                  <c:v>1-3年</c:v>
                </c:pt>
                <c:pt idx="1">
                  <c:v>4-6年</c:v>
                </c:pt>
                <c:pt idx="2">
                  <c:v>7-9年</c:v>
                </c:pt>
                <c:pt idx="3">
                  <c:v>10-12年</c:v>
                </c:pt>
                <c:pt idx="4">
                  <c:v>13-15年</c:v>
                </c:pt>
                <c:pt idx="5">
                  <c:v>16-20年</c:v>
                </c:pt>
                <c:pt idx="6">
                  <c:v>20年以上</c:v>
                </c:pt>
              </c:strCache>
            </c:strRef>
          </c:cat>
          <c:val>
            <c:numRef>
              <c:f>[郑州.xlsx]主卷!$C$20:$C$26</c:f>
              <c:numCache>
                <c:formatCode>0.00%</c:formatCode>
                <c:ptCount val="7"/>
                <c:pt idx="0">
                  <c:v>0.4873</c:v>
                </c:pt>
                <c:pt idx="1">
                  <c:v>0.2081</c:v>
                </c:pt>
                <c:pt idx="2">
                  <c:v>0.0742</c:v>
                </c:pt>
                <c:pt idx="3">
                  <c:v>0.1082</c:v>
                </c:pt>
                <c:pt idx="4">
                  <c:v>0.0422</c:v>
                </c:pt>
                <c:pt idx="5">
                  <c:v>0.0395</c:v>
                </c:pt>
                <c:pt idx="6">
                  <c:v>0.0405</c:v>
                </c:pt>
              </c:numCache>
            </c:numRef>
          </c:val>
        </c:ser>
        <c:ser>
          <c:idx val="3"/>
          <c:order val="3"/>
          <c:tx>
            <c:strRef>
              <c:f>[郑州.xlsx]主卷!$E$19</c:f>
              <c:strCache>
                <c:ptCount val="1"/>
                <c:pt idx="0">
                  <c:v>河南占比</c:v>
                </c:pt>
              </c:strCache>
            </c:strRef>
          </c:tx>
          <c:spPr>
            <a:solidFill>
              <a:schemeClr val="accent1"/>
            </a:solidFill>
            <a:ln>
              <a:noFill/>
            </a:ln>
            <a:effectLst/>
          </c:spPr>
          <c:invertIfNegative val="0"/>
          <c:dLbls>
            <c:dLbl>
              <c:idx val="0"/>
              <c:layout>
                <c:manualLayout>
                  <c:x val="0.0270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75"/>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9166666666667"/>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9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605415860735"/>
                  <c:y val="0.0178571428571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35396518375242"/>
                  <c:y val="-0.002976190476190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[郑州.xlsx]主卷!$A$20:$A$26</c:f>
              <c:strCache>
                <c:ptCount val="7"/>
                <c:pt idx="0">
                  <c:v>1-3年</c:v>
                </c:pt>
                <c:pt idx="1">
                  <c:v>4-6年</c:v>
                </c:pt>
                <c:pt idx="2">
                  <c:v>7-9年</c:v>
                </c:pt>
                <c:pt idx="3">
                  <c:v>10-12年</c:v>
                </c:pt>
                <c:pt idx="4">
                  <c:v>13-15年</c:v>
                </c:pt>
                <c:pt idx="5">
                  <c:v>16-20年</c:v>
                </c:pt>
                <c:pt idx="6">
                  <c:v>20年以上</c:v>
                </c:pt>
              </c:strCache>
            </c:strRef>
          </c:cat>
          <c:val>
            <c:numRef>
              <c:f>[郑州.xlsx]主卷!$E$20:$E$26</c:f>
              <c:numCache>
                <c:formatCode>0.00%</c:formatCode>
                <c:ptCount val="7"/>
                <c:pt idx="0">
                  <c:v>0.4842</c:v>
                </c:pt>
                <c:pt idx="1">
                  <c:v>0.2118</c:v>
                </c:pt>
                <c:pt idx="2">
                  <c:v>0.0744</c:v>
                </c:pt>
                <c:pt idx="3">
                  <c:v>0.114</c:v>
                </c:pt>
                <c:pt idx="4">
                  <c:v>0.0425</c:v>
                </c:pt>
                <c:pt idx="5">
                  <c:v>0.0391</c:v>
                </c:pt>
                <c:pt idx="6">
                  <c:v>0.034</c:v>
                </c:pt>
              </c:numCache>
            </c:numRef>
          </c:val>
        </c:ser>
        <c:dLbls>
          <c:showLegendKey val="0"/>
          <c:showVal val="1"/>
          <c:showCatName val="0"/>
          <c:showSerName val="0"/>
          <c:showPercent val="0"/>
          <c:showBubbleSize val="0"/>
        </c:dLbls>
        <c:gapWidth val="219"/>
        <c:overlap val="-27"/>
        <c:axId val="216448736"/>
        <c:axId val="216449296"/>
        <c:extLst>
          <c:ext xmlns:c15="http://schemas.microsoft.com/office/drawing/2012/chart" uri="{02D57815-91ED-43cb-92C2-25804820EDAC}">
            <c15:filteredBarSeries>
              <c15:ser>
                <c:idx val="0"/>
                <c:order val="0"/>
                <c:tx>
                  <c:strRef>
                    <c:extLst>
                      <c:ext uri="{02D57815-91ED-43cb-92C2-25804820EDAC}">
                        <c15:formulaRef>
                          <c15:sqref>[郑州.xlsx]主卷!$B$19</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[郑州.xlsx]主卷!$A$20:$A$26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{11349,4848,1729,2520,982,919,944}</c15:sqref>
                        </c15:formulaRef>
                      </c:ext>
                    </c:extLst>
                    <c:numCache>
                      <c:formatCode>General</c:formatCode>
                      <c:ptCount val="7"/>
                      <c:pt idx="0">
                        <c:v>11349</c:v>
                      </c:pt>
                      <c:pt idx="1">
                        <c:v>4848</c:v>
                      </c:pt>
                      <c:pt idx="2">
                        <c:v>1729</c:v>
                      </c:pt>
                      <c:pt idx="3">
                        <c:v>2520</c:v>
                      </c:pt>
                      <c:pt idx="4">
                        <c:v>982</c:v>
                      </c:pt>
                      <c:pt idx="5">
                        <c:v>919</c:v>
                      </c:pt>
                      <c:pt idx="6">
                        <c:v>944</c:v>
                      </c:pt>
                    </c:numCache>
                  </c:numRef>
                </c:val>
              </c15:ser>
            </c15:filteredBarSeries>
            <c15:filteredBarSeries>
              <c15:ser>
                <c:idx val="2"/>
                <c:order val="2"/>
                <c:tx>
                  <c:strRef>
                    <c:extLst>
                      <c:ext uri="{02D57815-91ED-43cb-92C2-25804820EDAC}">
                        <c15:formulaRef>
                          <c15:sqref>[郑州.xlsx]主卷!$D$19</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[郑州.xlsx]主卷!$A$20:$A$26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{26944,11786,4139,6345,2363,2176,1893}</c15:sqref>
                        </c15:formulaRef>
                      </c:ext>
                    </c:extLst>
                    <c:numCache>
                      <c:formatCode>General</c:formatCode>
                      <c:ptCount val="7"/>
                      <c:pt idx="0">
                        <c:v>26944</c:v>
                      </c:pt>
                      <c:pt idx="1">
                        <c:v>11786</c:v>
                      </c:pt>
                      <c:pt idx="2">
                        <c:v>4139</c:v>
                      </c:pt>
                      <c:pt idx="3">
                        <c:v>6345</c:v>
                      </c:pt>
                      <c:pt idx="4">
                        <c:v>2363</c:v>
                      </c:pt>
                      <c:pt idx="5">
                        <c:v>2176</c:v>
                      </c:pt>
                      <c:pt idx="6">
                        <c:v>1893</c:v>
                      </c:pt>
                    </c:numCache>
                  </c:numRef>
                </c:val>
              </c15:ser>
            </c15:filteredBarSeries>
          </c:ext>
        </c:extLst>
      </c:barChart>
      <c:catAx>
        <c:axId val="2164487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449296"/>
        <c:crosses val="autoZero"/>
        <c:auto val="1"/>
        <c:lblAlgn val="ctr"/>
        <c:lblOffset val="100"/>
        <c:noMultiLvlLbl val="0"/>
      </c:catAx>
      <c:valAx>
        <c:axId val="216449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448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1"/>
          <c:order val="1"/>
          <c:tx>
            <c:strRef>
              <c:f>[郑州.xlsx]专题A!$C$126</c:f>
              <c:strCache>
                <c:ptCount val="1"/>
                <c:pt idx="0">
                  <c:v>郑州占比</c:v>
                </c:pt>
              </c:strCache>
            </c:strRef>
          </c:tx>
          <c:spPr>
            <a:solidFill>
              <a:schemeClr val="tx2">
                <a:lumMod val="60000"/>
                <a:lumOff val="40000"/>
              </a:schemeClr>
            </a:solidFill>
            <a:ln>
              <a:noFill/>
            </a:ln>
            <a:effectLst/>
          </c:spPr>
          <c:invertIfNegative val="0"/>
          <c:dLbls>
            <c:dLbl>
              <c:idx val="6"/>
              <c:layout>
                <c:manualLayout>
                  <c:x val="0"/>
                  <c:y val="0.00975609756097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[郑州.xlsx]专题A!$A$127:$A$133</c:f>
              <c:strCache>
                <c:ptCount val="7"/>
                <c:pt idx="0">
                  <c:v>其他</c:v>
                </c:pt>
                <c:pt idx="1">
                  <c:v>参加相关专业论坛、研讨会等</c:v>
                </c:pt>
                <c:pt idx="2">
                  <c:v>从未接受过培训</c:v>
                </c:pt>
                <c:pt idx="3">
                  <c:v>购买有关课程自学</c:v>
                </c:pt>
                <c:pt idx="4">
                  <c:v>专业机构组织的培训</c:v>
                </c:pt>
                <c:pt idx="5">
                  <c:v>政府部门组织的培训</c:v>
                </c:pt>
                <c:pt idx="6">
                  <c:v>本单位组织的培训</c:v>
                </c:pt>
              </c:strCache>
            </c:strRef>
          </c:cat>
          <c:val>
            <c:numRef>
              <c:f>[郑州.xlsx]专题A!$C$127:$C$133</c:f>
              <c:numCache>
                <c:formatCode>0.00%</c:formatCode>
                <c:ptCount val="7"/>
                <c:pt idx="0">
                  <c:v>0.0848</c:v>
                </c:pt>
                <c:pt idx="1">
                  <c:v>0.1879</c:v>
                </c:pt>
                <c:pt idx="2">
                  <c:v>0.1961</c:v>
                </c:pt>
                <c:pt idx="3">
                  <c:v>0.2125</c:v>
                </c:pt>
                <c:pt idx="4">
                  <c:v>0.2686</c:v>
                </c:pt>
                <c:pt idx="5">
                  <c:v>0.3555</c:v>
                </c:pt>
                <c:pt idx="6">
                  <c:v>0.5741</c:v>
                </c:pt>
              </c:numCache>
            </c:numRef>
          </c:val>
        </c:ser>
        <c:ser>
          <c:idx val="3"/>
          <c:order val="3"/>
          <c:tx>
            <c:strRef>
              <c:f>[郑州.xlsx]专题A!$E$126</c:f>
              <c:strCache>
                <c:ptCount val="1"/>
                <c:pt idx="0">
                  <c:v>河南占比</c:v>
                </c:pt>
              </c:strCache>
            </c:strRef>
          </c:tx>
          <c:spPr>
            <a:solidFill>
              <a:schemeClr val="accent6"/>
            </a:solidFill>
            <a:ln>
              <a:noFill/>
            </a:ln>
            <a:effectLst/>
          </c:spPr>
          <c:invertIfNegative val="0"/>
          <c:dLbls>
            <c:dLbl>
              <c:idx val="5"/>
              <c:layout>
                <c:manualLayout>
                  <c:x val="0"/>
                  <c:y val="-0.02282926829268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282926829268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[郑州.xlsx]专题A!$A$127:$A$133</c:f>
              <c:strCache>
                <c:ptCount val="7"/>
                <c:pt idx="0">
                  <c:v>其他</c:v>
                </c:pt>
                <c:pt idx="1">
                  <c:v>参加相关专业论坛、研讨会等</c:v>
                </c:pt>
                <c:pt idx="2">
                  <c:v>从未接受过培训</c:v>
                </c:pt>
                <c:pt idx="3">
                  <c:v>购买有关课程自学</c:v>
                </c:pt>
                <c:pt idx="4">
                  <c:v>专业机构组织的培训</c:v>
                </c:pt>
                <c:pt idx="5">
                  <c:v>政府部门组织的培训</c:v>
                </c:pt>
                <c:pt idx="6">
                  <c:v>本单位组织的培训</c:v>
                </c:pt>
              </c:strCache>
            </c:strRef>
          </c:cat>
          <c:val>
            <c:numRef>
              <c:f>[郑州.xlsx]专题A!$E$127:$E$133</c:f>
              <c:numCache>
                <c:formatCode>0.00%</c:formatCode>
                <c:ptCount val="7"/>
                <c:pt idx="0">
                  <c:v>0.1132</c:v>
                </c:pt>
                <c:pt idx="1">
                  <c:v>0.2035</c:v>
                </c:pt>
                <c:pt idx="2">
                  <c:v>0.2182</c:v>
                </c:pt>
                <c:pt idx="3">
                  <c:v>0.2316</c:v>
                </c:pt>
                <c:pt idx="4">
                  <c:v>0.2705</c:v>
                </c:pt>
                <c:pt idx="5">
                  <c:v>0.3704</c:v>
                </c:pt>
                <c:pt idx="6">
                  <c:v>0.5359</c:v>
                </c:pt>
              </c:numCache>
            </c:numRef>
          </c:val>
        </c:ser>
        <c:dLbls>
          <c:showLegendKey val="0"/>
          <c:showVal val="1"/>
          <c:showCatName val="0"/>
          <c:showSerName val="0"/>
          <c:showPercent val="0"/>
          <c:showBubbleSize val="0"/>
        </c:dLbls>
        <c:gapWidth val="182"/>
        <c:axId val="531827104"/>
        <c:axId val="772422237"/>
        <c:extLst>
          <c:ext xmlns:c15="http://schemas.microsoft.com/office/drawing/2012/chart" uri="{02D57815-91ED-43cb-92C2-25804820EDAC}">
            <c15:filteredBarSeries>
              <c15:ser>
                <c:idx val="0"/>
                <c:order val="0"/>
                <c:tx>
                  <c:strRef>
                    <c:extLst>
                      <c:ext uri="{02D57815-91ED-43cb-92C2-25804820EDAC}">
                        <c15:formulaRef>
                          <c15:sqref>[郑州.xlsx]专题A!$B$126</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[郑州.xlsx]专题A!$A$127:$A$133</c15:sqref>
                        </c15:formulaRef>
                      </c:ext>
                    </c:extLst>
                    <c:strCache>
                      <c:ptCount val="7"/>
                      <c:pt idx="0">
                        <c:v>其他</c:v>
                      </c:pt>
                      <c:pt idx="1">
                        <c:v>参加相关专业论坛、研讨会等</c:v>
                      </c:pt>
                      <c:pt idx="2">
                        <c:v>从未接受过培训</c:v>
                      </c:pt>
                      <c:pt idx="3">
                        <c:v>购买有关课程自学</c:v>
                      </c:pt>
                      <c:pt idx="4">
                        <c:v>专业机构组织的培训</c:v>
                      </c:pt>
                      <c:pt idx="5">
                        <c:v>政府部门组织的培训</c:v>
                      </c:pt>
                      <c:pt idx="6">
                        <c:v>本单位组织的培训</c:v>
                      </c:pt>
                    </c:strCache>
                  </c:strRef>
                </c:cat>
                <c:val>
                  <c:numRef>
                    <c:extLst>
                      <c:ext uri="{02D57815-91ED-43cb-92C2-25804820EDAC}">
                        <c15:formulaRef>
                          <c15:sqref>{83,184,192,208,263,348,562}</c15:sqref>
                        </c15:formulaRef>
                      </c:ext>
                    </c:extLst>
                    <c:numCache>
                      <c:formatCode>General</c:formatCode>
                      <c:ptCount val="7"/>
                      <c:pt idx="0">
                        <c:v>83</c:v>
                      </c:pt>
                      <c:pt idx="1">
                        <c:v>184</c:v>
                      </c:pt>
                      <c:pt idx="2">
                        <c:v>192</c:v>
                      </c:pt>
                      <c:pt idx="3">
                        <c:v>208</c:v>
                      </c:pt>
                      <c:pt idx="4">
                        <c:v>263</c:v>
                      </c:pt>
                      <c:pt idx="5">
                        <c:v>348</c:v>
                      </c:pt>
                      <c:pt idx="6">
                        <c:v>562</c:v>
                      </c:pt>
                    </c:numCache>
                  </c:numRef>
                </c:val>
              </c15:ser>
            </c15:filteredBarSeries>
            <c15:filteredBarSeries>
              <c15:ser>
                <c:idx val="2"/>
                <c:order val="2"/>
                <c:tx>
                  <c:strRef>
                    <c:extLst>
                      <c:ext uri="{02D57815-91ED-43cb-92C2-25804820EDAC}">
                        <c15:formulaRef>
                          <c15:sqref>[郑州.xlsx]专题A!$D$126</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[郑州.xlsx]专题A!$A$127:$A$133</c15:sqref>
                        </c15:formulaRef>
                      </c:ext>
                    </c:extLst>
                    <c:strCache>
                      <c:ptCount val="7"/>
                      <c:pt idx="0">
                        <c:v>其他</c:v>
                      </c:pt>
                      <c:pt idx="1">
                        <c:v>参加相关专业论坛、研讨会等</c:v>
                      </c:pt>
                      <c:pt idx="2">
                        <c:v>从未接受过培训</c:v>
                      </c:pt>
                      <c:pt idx="3">
                        <c:v>购买有关课程自学</c:v>
                      </c:pt>
                      <c:pt idx="4">
                        <c:v>专业机构组织的培训</c:v>
                      </c:pt>
                      <c:pt idx="5">
                        <c:v>政府部门组织的培训</c:v>
                      </c:pt>
                      <c:pt idx="6">
                        <c:v>本单位组织的培训</c:v>
                      </c:pt>
                    </c:strCache>
                  </c:strRef>
                </c:cat>
                <c:val>
                  <c:numRef>
                    <c:extLst>
                      <c:ext uri="{02D57815-91ED-43cb-92C2-25804820EDAC}">
                        <c15:formulaRef>
                          <c15:sqref>{262,471,505,536,626,857,1240}</c15:sqref>
                        </c15:formulaRef>
                      </c:ext>
                    </c:extLst>
                    <c:numCache>
                      <c:formatCode>General</c:formatCode>
                      <c:ptCount val="7"/>
                      <c:pt idx="0">
                        <c:v>262</c:v>
                      </c:pt>
                      <c:pt idx="1">
                        <c:v>471</c:v>
                      </c:pt>
                      <c:pt idx="2">
                        <c:v>505</c:v>
                      </c:pt>
                      <c:pt idx="3">
                        <c:v>536</c:v>
                      </c:pt>
                      <c:pt idx="4">
                        <c:v>626</c:v>
                      </c:pt>
                      <c:pt idx="5">
                        <c:v>857</c:v>
                      </c:pt>
                      <c:pt idx="6">
                        <c:v>1240</c:v>
                      </c:pt>
                    </c:numCache>
                  </c:numRef>
                </c:val>
              </c15:ser>
            </c15:filteredBarSeries>
          </c:ext>
        </c:extLst>
      </c:barChart>
      <c:catAx>
        <c:axId val="5318271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422237"/>
        <c:crosses val="autoZero"/>
        <c:auto val="1"/>
        <c:lblAlgn val="ctr"/>
        <c:lblOffset val="100"/>
        <c:noMultiLvlLbl val="0"/>
      </c:catAx>
      <c:valAx>
        <c:axId val="7724222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18271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1"/>
          <c:order val="1"/>
          <c:tx>
            <c:strRef>
              <c:f>[郑州.xlsx]专题A!$C$137</c:f>
              <c:strCache>
                <c:ptCount val="1"/>
                <c:pt idx="0">
                  <c:v>郑州占比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[郑州.xlsx]专题A!$A$138:$A$141</c:f>
              <c:strCache>
                <c:ptCount val="4"/>
                <c:pt idx="0">
                  <c:v>实战化</c:v>
                </c:pt>
                <c:pt idx="1">
                  <c:v>体系化</c:v>
                </c:pt>
                <c:pt idx="2">
                  <c:v>常态化</c:v>
                </c:pt>
                <c:pt idx="3">
                  <c:v>规范化</c:v>
                </c:pt>
              </c:strCache>
            </c:strRef>
          </c:cat>
          <c:val>
            <c:numRef>
              <c:f>[郑州.xlsx]专题A!$C$138:$C$141</c:f>
              <c:numCache>
                <c:formatCode>0.00%</c:formatCode>
                <c:ptCount val="4"/>
                <c:pt idx="0">
                  <c:v>0.667</c:v>
                </c:pt>
                <c:pt idx="1">
                  <c:v>0.7099</c:v>
                </c:pt>
                <c:pt idx="2">
                  <c:v>0.667</c:v>
                </c:pt>
                <c:pt idx="3">
                  <c:v>0.6785</c:v>
                </c:pt>
              </c:numCache>
            </c:numRef>
          </c:val>
        </c:ser>
        <c:ser>
          <c:idx val="3"/>
          <c:order val="3"/>
          <c:tx>
            <c:strRef>
              <c:f>[郑州.xlsx]专题A!$E$137</c:f>
              <c:strCache>
                <c:ptCount val="1"/>
                <c:pt idx="0">
                  <c:v>河南占比</c:v>
                </c:pt>
              </c:strCache>
            </c:strRef>
          </c:tx>
          <c:spPr>
            <a:solidFill>
              <a:schemeClr val="tx2">
                <a:lumMod val="60000"/>
                <a:lumOff val="40000"/>
              </a:schemeClr>
            </a:solidFill>
            <a:ln>
              <a:noFill/>
            </a:ln>
            <a:effectLst/>
          </c:spPr>
          <c:invertIfNegative val="0"/>
          <c:dLbls>
            <c:dLbl>
              <c:idx val="0"/>
              <c:layout>
                <c:manualLayout>
                  <c:x val="0.0116666666666667"/>
                  <c:y val="-0.003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4722222222222"/>
                  <c:y val="-0.003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[郑州.xlsx]专题A!$A$138:$A$141</c:f>
              <c:strCache>
                <c:ptCount val="4"/>
                <c:pt idx="0">
                  <c:v>实战化</c:v>
                </c:pt>
                <c:pt idx="1">
                  <c:v>体系化</c:v>
                </c:pt>
                <c:pt idx="2">
                  <c:v>常态化</c:v>
                </c:pt>
                <c:pt idx="3">
                  <c:v>规范化</c:v>
                </c:pt>
              </c:strCache>
            </c:strRef>
          </c:cat>
          <c:val>
            <c:numRef>
              <c:f>[郑州.xlsx]专题A!$E$138:$E$141</c:f>
              <c:numCache>
                <c:formatCode>0.00%</c:formatCode>
                <c:ptCount val="4"/>
                <c:pt idx="0">
                  <c:v>0.6687</c:v>
                </c:pt>
                <c:pt idx="1">
                  <c:v>0.7028</c:v>
                </c:pt>
                <c:pt idx="2">
                  <c:v>0.6515</c:v>
                </c:pt>
                <c:pt idx="3" c:formatCode="0%">
                  <c:v>0.69</c:v>
                </c:pt>
              </c:numCache>
            </c:numRef>
          </c:val>
        </c:ser>
        <c:dLbls>
          <c:showLegendKey val="0"/>
          <c:showVal val="1"/>
          <c:showCatName val="0"/>
          <c:showSerName val="0"/>
          <c:showPercent val="0"/>
          <c:showBubbleSize val="0"/>
        </c:dLbls>
        <c:gapWidth val="219"/>
        <c:overlap val="-27"/>
        <c:axId val="648700469"/>
        <c:axId val="221908260"/>
        <c:extLst>
          <c:ext xmlns:c15="http://schemas.microsoft.com/office/drawing/2012/chart" uri="{02D57815-91ED-43cb-92C2-25804820EDAC}">
            <c15:filteredBarSeries>
              <c15:ser>
                <c:idx val="0"/>
                <c:order val="0"/>
                <c:tx>
                  <c:strRef>
                    <c:extLst>
                      <c:ext uri="{02D57815-91ED-43cb-92C2-25804820EDAC}">
                        <c15:formulaRef>
                          <c15:sqref>[郑州.xlsx]专题A!$B$137</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[郑州.xlsx]专题A!$A$138:$A$141</c15:sqref>
                        </c15:formulaRef>
                      </c:ext>
                    </c:extLst>
                    <c:strCache>
                      <c:ptCount val="4"/>
                      <c:pt idx="0">
                        <c:v>实战化</c:v>
                      </c:pt>
                      <c:pt idx="1">
                        <c:v>体系化</c:v>
                      </c:pt>
                      <c:pt idx="2">
                        <c:v>常态化</c:v>
                      </c:pt>
                      <c:pt idx="3">
                        <c:v>规范化</c:v>
                      </c:pt>
                    </c:strCache>
                  </c:strRef>
                </c:cat>
                <c:val>
                  <c:numRef>
                    <c:extLst>
                      <c:ext uri="{02D57815-91ED-43cb-92C2-25804820EDAC}">
                        <c15:formulaRef>
                          <c15:sqref>{637,678,637,648}</c15:sqref>
                        </c15:formulaRef>
                      </c:ext>
                    </c:extLst>
                    <c:numCache>
                      <c:formatCode>General</c:formatCode>
                      <c:ptCount val="4"/>
                      <c:pt idx="0">
                        <c:v>637</c:v>
                      </c:pt>
                      <c:pt idx="1">
                        <c:v>678</c:v>
                      </c:pt>
                      <c:pt idx="2">
                        <c:v>637</c:v>
                      </c:pt>
                      <c:pt idx="3">
                        <c:v>648</c:v>
                      </c:pt>
                    </c:numCache>
                  </c:numRef>
                </c:val>
              </c15:ser>
            </c15:filteredBarSeries>
            <c15:filteredBarSeries>
              <c15:ser>
                <c:idx val="2"/>
                <c:order val="2"/>
                <c:tx>
                  <c:strRef>
                    <c:extLst>
                      <c:ext uri="{02D57815-91ED-43cb-92C2-25804820EDAC}">
                        <c15:formulaRef>
                          <c15:sqref>[郑州.xlsx]专题A!$D$137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[郑州.xlsx]专题A!$A$138:$A$141</c15:sqref>
                        </c15:formulaRef>
                      </c:ext>
                    </c:extLst>
                    <c:strCache>
                      <c:ptCount val="4"/>
                      <c:pt idx="0">
                        <c:v>实战化</c:v>
                      </c:pt>
                      <c:pt idx="1">
                        <c:v>体系化</c:v>
                      </c:pt>
                      <c:pt idx="2">
                        <c:v>常态化</c:v>
                      </c:pt>
                      <c:pt idx="3">
                        <c:v>规范化</c:v>
                      </c:pt>
                    </c:strCache>
                  </c:strRef>
                </c:cat>
                <c:val>
                  <c:numRef>
                    <c:extLst>
                      <c:ext uri="{02D57815-91ED-43cb-92C2-25804820EDAC}">
                        <c15:formulaRef>
                          <c15:sqref>{1512,1589,1473,1560}</c15:sqref>
                        </c15:formulaRef>
                      </c:ext>
                    </c:extLst>
                    <c:numCache>
                      <c:formatCode>General</c:formatCode>
                      <c:ptCount val="4"/>
                      <c:pt idx="0">
                        <c:v>1512</c:v>
                      </c:pt>
                      <c:pt idx="1">
                        <c:v>1589</c:v>
                      </c:pt>
                      <c:pt idx="2">
                        <c:v>1473</c:v>
                      </c:pt>
                      <c:pt idx="3">
                        <c:v>1560</c:v>
                      </c:pt>
                    </c:numCache>
                  </c:numRef>
                </c:val>
              </c15:ser>
            </c15:filteredBarSeries>
          </c:ext>
        </c:extLst>
      </c:barChart>
      <c:catAx>
        <c:axId val="6487004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908260"/>
        <c:crosses val="autoZero"/>
        <c:auto val="1"/>
        <c:lblAlgn val="ctr"/>
        <c:lblOffset val="100"/>
        <c:noMultiLvlLbl val="0"/>
      </c:catAx>
      <c:valAx>
        <c:axId val="2219082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7004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bar"/>
        <c:grouping val="clustered"/>
        <c:varyColors val="0"/>
        <c:ser>
          <c:idx val="1"/>
          <c:order val="1"/>
          <c:tx>
            <c:strRef>
              <c:f>[郑州.xlsx]专题A!$C$145</c:f>
              <c:strCache>
                <c:ptCount val="1"/>
                <c:pt idx="0">
                  <c:v>郑州占比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[郑州.xlsx]专题A!$A$146:$A$151</c:f>
              <c:strCache>
                <c:ptCount val="6"/>
                <c:pt idx="0">
                  <c:v>整体防控</c:v>
                </c:pt>
                <c:pt idx="1">
                  <c:v>联防联控</c:v>
                </c:pt>
                <c:pt idx="2">
                  <c:v>纵深防御</c:v>
                </c:pt>
                <c:pt idx="3">
                  <c:v>精准防护</c:v>
                </c:pt>
                <c:pt idx="4">
                  <c:v>主动防御</c:v>
                </c:pt>
                <c:pt idx="5">
                  <c:v>动态防御</c:v>
                </c:pt>
              </c:strCache>
            </c:strRef>
          </c:cat>
          <c:val>
            <c:numRef>
              <c:f>[郑州.xlsx]专题A!$C$146:$C$151</c:f>
              <c:numCache>
                <c:formatCode>0.00%</c:formatCode>
                <c:ptCount val="6"/>
                <c:pt idx="0">
                  <c:v>0.7708</c:v>
                </c:pt>
                <c:pt idx="1">
                  <c:v>0.7783</c:v>
                </c:pt>
                <c:pt idx="2">
                  <c:v>0.7921</c:v>
                </c:pt>
                <c:pt idx="3">
                  <c:v>0.8028</c:v>
                </c:pt>
                <c:pt idx="4">
                  <c:v>0.8273</c:v>
                </c:pt>
                <c:pt idx="5">
                  <c:v>0.8763</c:v>
                </c:pt>
              </c:numCache>
            </c:numRef>
          </c:val>
        </c:ser>
        <c:ser>
          <c:idx val="3"/>
          <c:order val="3"/>
          <c:tx>
            <c:strRef>
              <c:f>[郑州.xlsx]专题A!$E$145</c:f>
              <c:strCache>
                <c:ptCount val="1"/>
                <c:pt idx="0">
                  <c:v>河南占比</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[郑州.xlsx]专题A!$A$146:$A$151</c:f>
              <c:strCache>
                <c:ptCount val="6"/>
                <c:pt idx="0">
                  <c:v>整体防控</c:v>
                </c:pt>
                <c:pt idx="1">
                  <c:v>联防联控</c:v>
                </c:pt>
                <c:pt idx="2">
                  <c:v>纵深防御</c:v>
                </c:pt>
                <c:pt idx="3">
                  <c:v>精准防护</c:v>
                </c:pt>
                <c:pt idx="4">
                  <c:v>主动防御</c:v>
                </c:pt>
                <c:pt idx="5">
                  <c:v>动态防御</c:v>
                </c:pt>
              </c:strCache>
            </c:strRef>
          </c:cat>
          <c:val>
            <c:numRef>
              <c:f>[郑州.xlsx]专题A!$E$146:$E$151</c:f>
              <c:numCache>
                <c:formatCode>0.00%</c:formatCode>
                <c:ptCount val="6"/>
                <c:pt idx="0">
                  <c:v>0.7643</c:v>
                </c:pt>
                <c:pt idx="1">
                  <c:v>0.7634</c:v>
                </c:pt>
                <c:pt idx="2">
                  <c:v>0.7723</c:v>
                </c:pt>
                <c:pt idx="3">
                  <c:v>0.8029</c:v>
                </c:pt>
                <c:pt idx="4">
                  <c:v>0.8083</c:v>
                </c:pt>
                <c:pt idx="5">
                  <c:v>0.8518</c:v>
                </c:pt>
              </c:numCache>
            </c:numRef>
          </c:val>
        </c:ser>
        <c:dLbls>
          <c:showLegendKey val="0"/>
          <c:showVal val="1"/>
          <c:showCatName val="0"/>
          <c:showSerName val="0"/>
          <c:showPercent val="0"/>
          <c:showBubbleSize val="0"/>
        </c:dLbls>
        <c:gapWidth val="219"/>
        <c:axId val="513069386"/>
        <c:axId val="548485391"/>
        <c:extLst>
          <c:ext xmlns:c15="http://schemas.microsoft.com/office/drawing/2012/chart" uri="{02D57815-91ED-43cb-92C2-25804820EDAC}">
            <c15:filteredBarSeries>
              <c15:ser>
                <c:idx val="0"/>
                <c:order val="0"/>
                <c:tx>
                  <c:strRef>
                    <c:extLst>
                      <c:ext uri="{02D57815-91ED-43cb-92C2-25804820EDAC}">
                        <c15:formulaRef>
                          <c15:sqref>[郑州.xlsx]专题A!$B$145</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[郑州.xlsx]专题A!$A$146:$A$151</c15:sqref>
                        </c15:formulaRef>
                      </c:ext>
                    </c:extLst>
                    <c:strCache>
                      <c:ptCount val="6"/>
                      <c:pt idx="0">
                        <c:v>整体防控</c:v>
                      </c:pt>
                      <c:pt idx="1">
                        <c:v>联防联控</c:v>
                      </c:pt>
                      <c:pt idx="2">
                        <c:v>纵深防御</c:v>
                      </c:pt>
                      <c:pt idx="3">
                        <c:v>精准防护</c:v>
                      </c:pt>
                      <c:pt idx="4">
                        <c:v>主动防御</c:v>
                      </c:pt>
                      <c:pt idx="5">
                        <c:v>动态防御</c:v>
                      </c:pt>
                    </c:strCache>
                  </c:strRef>
                </c:cat>
                <c:val>
                  <c:numRef>
                    <c:extLst>
                      <c:ext uri="{02D57815-91ED-43cb-92C2-25804820EDAC}">
                        <c15:formulaRef>
                          <c15:sqref>{723,730,743,753,776,822}</c15:sqref>
                        </c15:formulaRef>
                      </c:ext>
                    </c:extLst>
                    <c:numCache>
                      <c:formatCode>General</c:formatCode>
                      <c:ptCount val="6"/>
                      <c:pt idx="0">
                        <c:v>723</c:v>
                      </c:pt>
                      <c:pt idx="1">
                        <c:v>730</c:v>
                      </c:pt>
                      <c:pt idx="2">
                        <c:v>743</c:v>
                      </c:pt>
                      <c:pt idx="3">
                        <c:v>753</c:v>
                      </c:pt>
                      <c:pt idx="4">
                        <c:v>776</c:v>
                      </c:pt>
                      <c:pt idx="5">
                        <c:v>822</c:v>
                      </c:pt>
                    </c:numCache>
                  </c:numRef>
                </c:val>
              </c15:ser>
            </c15:filteredBarSeries>
            <c15:filteredBarSeries>
              <c15:ser>
                <c:idx val="2"/>
                <c:order val="2"/>
                <c:tx>
                  <c:strRef>
                    <c:extLst>
                      <c:ext uri="{02D57815-91ED-43cb-92C2-25804820EDAC}">
                        <c15:formulaRef>
                          <c15:sqref>[郑州.xlsx]专题A!$D$145</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[郑州.xlsx]专题A!$A$146:$A$151</c15:sqref>
                        </c15:formulaRef>
                      </c:ext>
                    </c:extLst>
                    <c:strCache>
                      <c:ptCount val="6"/>
                      <c:pt idx="0">
                        <c:v>整体防控</c:v>
                      </c:pt>
                      <c:pt idx="1">
                        <c:v>联防联控</c:v>
                      </c:pt>
                      <c:pt idx="2">
                        <c:v>纵深防御</c:v>
                      </c:pt>
                      <c:pt idx="3">
                        <c:v>精准防护</c:v>
                      </c:pt>
                      <c:pt idx="4">
                        <c:v>主动防御</c:v>
                      </c:pt>
                      <c:pt idx="5">
                        <c:v>动态防御</c:v>
                      </c:pt>
                    </c:strCache>
                  </c:strRef>
                </c:cat>
                <c:val>
                  <c:numRef>
                    <c:extLst>
                      <c:ext uri="{02D57815-91ED-43cb-92C2-25804820EDAC}">
                        <c15:formulaRef>
                          <c15:sqref>{1702,1700,1720,1788,1800,1897}</c15:sqref>
                        </c15:formulaRef>
                      </c:ext>
                    </c:extLst>
                    <c:numCache>
                      <c:formatCode>General</c:formatCode>
                      <c:ptCount val="6"/>
                      <c:pt idx="0">
                        <c:v>1702</c:v>
                      </c:pt>
                      <c:pt idx="1">
                        <c:v>1700</c:v>
                      </c:pt>
                      <c:pt idx="2">
                        <c:v>1720</c:v>
                      </c:pt>
                      <c:pt idx="3">
                        <c:v>1788</c:v>
                      </c:pt>
                      <c:pt idx="4">
                        <c:v>1800</c:v>
                      </c:pt>
                      <c:pt idx="5">
                        <c:v>1897</c:v>
                      </c:pt>
                    </c:numCache>
                  </c:numRef>
                </c:val>
              </c15:ser>
            </c15:filteredBarSeries>
          </c:ext>
        </c:extLst>
      </c:barChart>
      <c:catAx>
        <c:axId val="5130693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485391"/>
        <c:crosses val="autoZero"/>
        <c:auto val="1"/>
        <c:lblAlgn val="ctr"/>
        <c:lblOffset val="100"/>
        <c:noMultiLvlLbl val="0"/>
      </c:catAx>
      <c:valAx>
        <c:axId val="5484853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0693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b5f2b3c6-6455-4306-929e-2f1b4d2d6596}"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90833333333333"/>
                  <c:y val="-0.0625000000000001"/>
                </c:manualLayout>
              </c:layout>
              <c:tx>
                <c:rich>
                  <a:bodyPr rot="0" spcFirstLastPara="1" vertOverflow="clip" vert="horz" wrap="square" lIns="38100" tIns="19050" rIns="38100" bIns="19050" anchor="ctr" anchorCtr="1"/>
                  <a:lstStyle/>
                  <a:p>
                    <a:fld id="{a7545c95-8062-44e3-9690-a5054fcde9ea}"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[郑州.xlsx]专题A!$A$156:$A$158</c:f>
              <c:strCache>
                <c:ptCount val="3"/>
                <c:pt idx="0">
                  <c:v>了解</c:v>
                </c:pt>
                <c:pt idx="1">
                  <c:v>知道等级保护但不了解等级保护2.0</c:v>
                </c:pt>
                <c:pt idx="2">
                  <c:v>完全不了解</c:v>
                </c:pt>
              </c:strCache>
            </c:strRef>
          </c:cat>
          <c:val>
            <c:numRef>
              <c:f>[郑州.xlsx]专题A!$C$156:$C$158</c:f>
              <c:numCache>
                <c:formatCode>0.00%</c:formatCode>
                <c:ptCount val="3"/>
                <c:pt idx="0">
                  <c:v>0.3467</c:v>
                </c:pt>
                <c:pt idx="1">
                  <c:v>0.4352</c:v>
                </c:pt>
                <c:pt idx="2">
                  <c:v>0.2181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overlay val="0"/>
      <c:spPr>
        <a:noFill/>
        <a:ln>
          <a:noFill/>
        </a:ln>
        <a:effectLst/>
      </c:spPr>
    </c:title>
    <c:autoTitleDeleted val="0"/>
    <c:plotArea>
      <c:layout/>
      <c:barChart>
        <c:barDir val="col"/>
        <c:grouping val="clustered"/>
        <c:varyColors val="0"/>
        <c:ser>
          <c:idx val="1"/>
          <c:order val="1"/>
          <c:tx>
            <c:strRef>
              <c:f>[郑州.xlsx]专题A!$C$162</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[郑州.xlsx]专题A!$A$163:$A$167</c:f>
              <c:strCache>
                <c:ptCount val="5"/>
                <c:pt idx="0">
                  <c:v>很大</c:v>
                </c:pt>
                <c:pt idx="1">
                  <c:v>比较大</c:v>
                </c:pt>
                <c:pt idx="2">
                  <c:v>一般</c:v>
                </c:pt>
                <c:pt idx="3">
                  <c:v>比较小</c:v>
                </c:pt>
                <c:pt idx="4">
                  <c:v>没什么作用</c:v>
                </c:pt>
              </c:strCache>
            </c:strRef>
          </c:cat>
          <c:val>
            <c:numRef>
              <c:f>[郑州.xlsx]专题A!$C$163:$C$167</c:f>
              <c:numCache>
                <c:formatCode>0.00%</c:formatCode>
                <c:ptCount val="5"/>
                <c:pt idx="0">
                  <c:v>0.6087</c:v>
                </c:pt>
                <c:pt idx="1">
                  <c:v>0.2568</c:v>
                </c:pt>
                <c:pt idx="2">
                  <c:v>0.1128</c:v>
                </c:pt>
                <c:pt idx="3">
                  <c:v>0.019</c:v>
                </c:pt>
                <c:pt idx="4">
                  <c:v>0.0027</c:v>
                </c:pt>
              </c:numCache>
            </c:numRef>
          </c:val>
        </c:ser>
        <c:ser>
          <c:idx val="3"/>
          <c:order val="3"/>
          <c:tx>
            <c:strRef>
              <c:f>[郑州.xlsx]专题A!$E$162</c:f>
              <c:strCache>
                <c:ptCount val="1"/>
                <c:pt idx="0">
                  <c:v>河南占比</c:v>
                </c:pt>
              </c:strCache>
            </c:strRef>
          </c:tx>
          <c:spPr>
            <a:solidFill>
              <a:schemeClr val="accent4"/>
            </a:solidFill>
            <a:ln>
              <a:noFill/>
            </a:ln>
            <a:effectLst/>
          </c:spPr>
          <c:invertIfNegative val="0"/>
          <c:dLbls>
            <c:dLbl>
              <c:idx val="0"/>
              <c:layout>
                <c:manualLayout>
                  <c:x val="0.0208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45833333333333"/>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[郑州.xlsx]专题A!$A$163:$A$167</c:f>
              <c:strCache>
                <c:ptCount val="5"/>
                <c:pt idx="0">
                  <c:v>很大</c:v>
                </c:pt>
                <c:pt idx="1">
                  <c:v>比较大</c:v>
                </c:pt>
                <c:pt idx="2">
                  <c:v>一般</c:v>
                </c:pt>
                <c:pt idx="3">
                  <c:v>比较小</c:v>
                </c:pt>
                <c:pt idx="4">
                  <c:v>没什么作用</c:v>
                </c:pt>
              </c:strCache>
            </c:strRef>
          </c:cat>
          <c:val>
            <c:numRef>
              <c:f>[郑州.xlsx]专题A!$E$163:$E$167</c:f>
              <c:numCache>
                <c:formatCode>0.00%</c:formatCode>
                <c:ptCount val="5"/>
                <c:pt idx="0">
                  <c:v>0.5965</c:v>
                </c:pt>
                <c:pt idx="1">
                  <c:v>0.2628</c:v>
                </c:pt>
                <c:pt idx="2">
                  <c:v>0.117</c:v>
                </c:pt>
                <c:pt idx="3">
                  <c:v>0.0196</c:v>
                </c:pt>
                <c:pt idx="4">
                  <c:v>0.004</c:v>
                </c:pt>
              </c:numCache>
            </c:numRef>
          </c:val>
        </c:ser>
        <c:dLbls>
          <c:showLegendKey val="0"/>
          <c:showVal val="1"/>
          <c:showCatName val="0"/>
          <c:showSerName val="0"/>
          <c:showPercent val="0"/>
          <c:showBubbleSize val="0"/>
        </c:dLbls>
        <c:gapWidth val="219"/>
        <c:overlap val="-27"/>
        <c:axId val="673848525"/>
        <c:axId val="937792967"/>
        <c:extLst>
          <c:ext xmlns:c15="http://schemas.microsoft.com/office/drawing/2012/chart" uri="{02D57815-91ED-43cb-92C2-25804820EDAC}">
            <c15:filteredBarSeries>
              <c15:ser>
                <c:idx val="0"/>
                <c:order val="0"/>
                <c:tx>
                  <c:strRef>
                    <c:extLst>
                      <c:ext uri="{02D57815-91ED-43cb-92C2-25804820EDAC}">
                        <c15:formulaRef>
                          <c15:sqref>[郑州.xlsx]专题A!$B$162</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[郑州.xlsx]专题A!$A$163:$A$167</c15:sqref>
                        </c15:formulaRef>
                      </c:ext>
                    </c:extLst>
                    <c:strCache>
                      <c:ptCount val="5"/>
                      <c:pt idx="0">
                        <c:v>很大</c:v>
                      </c:pt>
                      <c:pt idx="1">
                        <c:v>比较大</c:v>
                      </c:pt>
                      <c:pt idx="2">
                        <c:v>一般</c:v>
                      </c:pt>
                      <c:pt idx="3">
                        <c:v>比较小</c:v>
                      </c:pt>
                      <c:pt idx="4">
                        <c:v>没什么作用</c:v>
                      </c:pt>
                    </c:strCache>
                  </c:strRef>
                </c:cat>
                <c:val>
                  <c:numRef>
                    <c:extLst>
                      <c:ext uri="{02D57815-91ED-43cb-92C2-25804820EDAC}">
                        <c15:formulaRef>
                          <c15:sqref>{448,189,83,14,2}</c15:sqref>
                        </c15:formulaRef>
                      </c:ext>
                    </c:extLst>
                    <c:numCache>
                      <c:formatCode>General</c:formatCode>
                      <c:ptCount val="5"/>
                      <c:pt idx="0">
                        <c:v>448</c:v>
                      </c:pt>
                      <c:pt idx="1">
                        <c:v>189</c:v>
                      </c:pt>
                      <c:pt idx="2">
                        <c:v>83</c:v>
                      </c:pt>
                      <c:pt idx="3">
                        <c:v>14</c:v>
                      </c:pt>
                      <c:pt idx="4">
                        <c:v>2</c:v>
                      </c:pt>
                    </c:numCache>
                  </c:numRef>
                </c:val>
              </c15:ser>
            </c15:filteredBarSeries>
            <c15:filteredBarSeries>
              <c15:ser>
                <c:idx val="2"/>
                <c:order val="2"/>
                <c:tx>
                  <c:strRef>
                    <c:extLst>
                      <c:ext uri="{02D57815-91ED-43cb-92C2-25804820EDAC}">
                        <c15:formulaRef>
                          <c15:sqref>[郑州.xlsx]专题A!$D$162</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[郑州.xlsx]专题A!$A$163:$A$167</c15:sqref>
                        </c15:formulaRef>
                      </c:ext>
                    </c:extLst>
                    <c:strCache>
                      <c:ptCount val="5"/>
                      <c:pt idx="0">
                        <c:v>很大</c:v>
                      </c:pt>
                      <c:pt idx="1">
                        <c:v>比较大</c:v>
                      </c:pt>
                      <c:pt idx="2">
                        <c:v>一般</c:v>
                      </c:pt>
                      <c:pt idx="3">
                        <c:v>比较小</c:v>
                      </c:pt>
                      <c:pt idx="4">
                        <c:v>没什么作用</c:v>
                      </c:pt>
                    </c:strCache>
                  </c:strRef>
                </c:cat>
                <c:val>
                  <c:numRef>
                    <c:extLst>
                      <c:ext uri="{02D57815-91ED-43cb-92C2-25804820EDAC}">
                        <c15:formulaRef>
                          <c15:sqref>{1035,456,203,34,7}</c15:sqref>
                        </c15:formulaRef>
                      </c:ext>
                    </c:extLst>
                    <c:numCache>
                      <c:formatCode>General</c:formatCode>
                      <c:ptCount val="5"/>
                      <c:pt idx="0">
                        <c:v>1035</c:v>
                      </c:pt>
                      <c:pt idx="1">
                        <c:v>456</c:v>
                      </c:pt>
                      <c:pt idx="2">
                        <c:v>203</c:v>
                      </c:pt>
                      <c:pt idx="3">
                        <c:v>34</c:v>
                      </c:pt>
                      <c:pt idx="4">
                        <c:v>7</c:v>
                      </c:pt>
                    </c:numCache>
                  </c:numRef>
                </c:val>
              </c15:ser>
            </c15:filteredBarSeries>
          </c:ext>
        </c:extLst>
      </c:barChart>
      <c:catAx>
        <c:axId val="6738485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792967"/>
        <c:crosses val="autoZero"/>
        <c:auto val="1"/>
        <c:lblAlgn val="ctr"/>
        <c:lblOffset val="100"/>
        <c:noMultiLvlLbl val="0"/>
      </c:catAx>
      <c:valAx>
        <c:axId val="9377929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8485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1"/>
          <c:order val="1"/>
          <c:tx>
            <c:strRef>
              <c:f>[郑州.xlsx]专题A!$C$171</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[郑州.xlsx]专题A!$A$172:$A$177</c:f>
              <c:strCache>
                <c:ptCount val="6"/>
                <c:pt idx="0">
                  <c:v>没有进行过</c:v>
                </c:pt>
                <c:pt idx="1">
                  <c:v>不了解</c:v>
                </c:pt>
                <c:pt idx="2">
                  <c:v>信息系统安全测评</c:v>
                </c:pt>
                <c:pt idx="3">
                  <c:v>开展网络安全自查</c:v>
                </c:pt>
                <c:pt idx="4">
                  <c:v>信息系统安全建设整改</c:v>
                </c:pt>
                <c:pt idx="5">
                  <c:v>信息系统定级备案</c:v>
                </c:pt>
              </c:strCache>
            </c:strRef>
          </c:cat>
          <c:val>
            <c:numRef>
              <c:f>[郑州.xlsx]专题A!$C$172:$C$177</c:f>
              <c:numCache>
                <c:formatCode>0.00%</c:formatCode>
                <c:ptCount val="6"/>
                <c:pt idx="0">
                  <c:v>0.0916</c:v>
                </c:pt>
                <c:pt idx="1">
                  <c:v>0.2099</c:v>
                </c:pt>
                <c:pt idx="2">
                  <c:v>0.466</c:v>
                </c:pt>
                <c:pt idx="3">
                  <c:v>0.4805</c:v>
                </c:pt>
                <c:pt idx="4">
                  <c:v>0.4815</c:v>
                </c:pt>
                <c:pt idx="5">
                  <c:v>0.5648</c:v>
                </c:pt>
              </c:numCache>
            </c:numRef>
          </c:val>
        </c:ser>
        <c:ser>
          <c:idx val="3"/>
          <c:order val="3"/>
          <c:tx>
            <c:strRef>
              <c:f>[郑州.xlsx]专题A!$E$171</c:f>
              <c:strCache>
                <c:ptCount val="1"/>
                <c:pt idx="0">
                  <c:v>河南占比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[郑州.xlsx]专题A!$A$172:$A$177</c:f>
              <c:strCache>
                <c:ptCount val="6"/>
                <c:pt idx="0">
                  <c:v>没有进行过</c:v>
                </c:pt>
                <c:pt idx="1">
                  <c:v>不了解</c:v>
                </c:pt>
                <c:pt idx="2">
                  <c:v>信息系统安全测评</c:v>
                </c:pt>
                <c:pt idx="3">
                  <c:v>开展网络安全自查</c:v>
                </c:pt>
                <c:pt idx="4">
                  <c:v>信息系统安全建设整改</c:v>
                </c:pt>
                <c:pt idx="5">
                  <c:v>信息系统定级备案</c:v>
                </c:pt>
              </c:strCache>
            </c:strRef>
          </c:cat>
          <c:val>
            <c:numRef>
              <c:f>[郑州.xlsx]专题A!$E$172:$E$177</c:f>
              <c:numCache>
                <c:formatCode>0.00%</c:formatCode>
                <c:ptCount val="6"/>
                <c:pt idx="0">
                  <c:v>0.1134</c:v>
                </c:pt>
                <c:pt idx="1">
                  <c:v>0.2247</c:v>
                </c:pt>
                <c:pt idx="2">
                  <c:v>0.4463</c:v>
                </c:pt>
                <c:pt idx="3">
                  <c:v>0.4702</c:v>
                </c:pt>
                <c:pt idx="4">
                  <c:v>0.4624</c:v>
                </c:pt>
                <c:pt idx="5">
                  <c:v>0.5519</c:v>
                </c:pt>
              </c:numCache>
            </c:numRef>
          </c:val>
        </c:ser>
        <c:dLbls>
          <c:showLegendKey val="0"/>
          <c:showVal val="1"/>
          <c:showCatName val="0"/>
          <c:showSerName val="0"/>
          <c:showPercent val="0"/>
          <c:showBubbleSize val="0"/>
        </c:dLbls>
        <c:gapWidth val="182"/>
        <c:axId val="248445313"/>
        <c:axId val="607267958"/>
        <c:extLst>
          <c:ext xmlns:c15="http://schemas.microsoft.com/office/drawing/2012/chart" uri="{02D57815-91ED-43cb-92C2-25804820EDAC}">
            <c15:filteredBarSeries>
              <c15:ser>
                <c:idx val="0"/>
                <c:order val="0"/>
                <c:tx>
                  <c:strRef>
                    <c:extLst>
                      <c:ext uri="{02D57815-91ED-43cb-92C2-25804820EDAC}">
                        <c15:formulaRef>
                          <c15:sqref>[郑州.xlsx]专题A!$B$171</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[郑州.xlsx]专题A!$A$172:$A$177</c15:sqref>
                        </c15:formulaRef>
                      </c:ext>
                    </c:extLst>
                    <c:strCache>
                      <c:ptCount val="6"/>
                      <c:pt idx="0">
                        <c:v>没有进行过</c:v>
                      </c:pt>
                      <c:pt idx="1">
                        <c:v>不了解</c:v>
                      </c:pt>
                      <c:pt idx="2">
                        <c:v>信息系统安全测评</c:v>
                      </c:pt>
                      <c:pt idx="3">
                        <c:v>开展网络安全自查</c:v>
                      </c:pt>
                      <c:pt idx="4">
                        <c:v>信息系统安全建设整改</c:v>
                      </c:pt>
                      <c:pt idx="5">
                        <c:v>信息系统定级备案</c:v>
                      </c:pt>
                    </c:strCache>
                  </c:strRef>
                </c:cat>
                <c:val>
                  <c:numRef>
                    <c:extLst>
                      <c:ext uri="{02D57815-91ED-43cb-92C2-25804820EDAC}">
                        <c15:formulaRef>
                          <c15:sqref>{89,204,453,467,468,549}</c15:sqref>
                        </c15:formulaRef>
                      </c:ext>
                    </c:extLst>
                    <c:numCache>
                      <c:formatCode>General</c:formatCode>
                      <c:ptCount val="6"/>
                      <c:pt idx="0">
                        <c:v>89</c:v>
                      </c:pt>
                      <c:pt idx="1">
                        <c:v>204</c:v>
                      </c:pt>
                      <c:pt idx="2">
                        <c:v>453</c:v>
                      </c:pt>
                      <c:pt idx="3">
                        <c:v>467</c:v>
                      </c:pt>
                      <c:pt idx="4">
                        <c:v>468</c:v>
                      </c:pt>
                      <c:pt idx="5">
                        <c:v>549</c:v>
                      </c:pt>
                    </c:numCache>
                  </c:numRef>
                </c:val>
              </c15:ser>
            </c15:filteredBarSeries>
            <c15:filteredBarSeries>
              <c15:ser>
                <c:idx val="2"/>
                <c:order val="2"/>
                <c:tx>
                  <c:strRef>
                    <c:extLst>
                      <c:ext uri="{02D57815-91ED-43cb-92C2-25804820EDAC}">
                        <c15:formulaRef>
                          <c15:sqref>[郑州.xlsx]专题A!$D$171</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[郑州.xlsx]专题A!$A$172:$A$177</c15:sqref>
                        </c15:formulaRef>
                      </c:ext>
                    </c:extLst>
                    <c:strCache>
                      <c:ptCount val="6"/>
                      <c:pt idx="0">
                        <c:v>没有进行过</c:v>
                      </c:pt>
                      <c:pt idx="1">
                        <c:v>不了解</c:v>
                      </c:pt>
                      <c:pt idx="2">
                        <c:v>信息系统安全测评</c:v>
                      </c:pt>
                      <c:pt idx="3">
                        <c:v>开展网络安全自查</c:v>
                      </c:pt>
                      <c:pt idx="4">
                        <c:v>信息系统安全建设整改</c:v>
                      </c:pt>
                      <c:pt idx="5">
                        <c:v>信息系统定级备案</c:v>
                      </c:pt>
                    </c:strCache>
                  </c:strRef>
                </c:cat>
                <c:val>
                  <c:numRef>
                    <c:extLst>
                      <c:ext uri="{02D57815-91ED-43cb-92C2-25804820EDAC}">
                        <c15:formulaRef>
                          <c15:sqref>{261,517,1027,1082,1064,1270}</c15:sqref>
                        </c15:formulaRef>
                      </c:ext>
                    </c:extLst>
                    <c:numCache>
                      <c:formatCode>General</c:formatCode>
                      <c:ptCount val="6"/>
                      <c:pt idx="0">
                        <c:v>261</c:v>
                      </c:pt>
                      <c:pt idx="1">
                        <c:v>517</c:v>
                      </c:pt>
                      <c:pt idx="2">
                        <c:v>1027</c:v>
                      </c:pt>
                      <c:pt idx="3">
                        <c:v>1082</c:v>
                      </c:pt>
                      <c:pt idx="4">
                        <c:v>1064</c:v>
                      </c:pt>
                      <c:pt idx="5">
                        <c:v>1270</c:v>
                      </c:pt>
                    </c:numCache>
                  </c:numRef>
                </c:val>
              </c15:ser>
            </c15:filteredBarSeries>
          </c:ext>
        </c:extLst>
      </c:barChart>
      <c:catAx>
        <c:axId val="2484453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267958"/>
        <c:crosses val="autoZero"/>
        <c:auto val="1"/>
        <c:lblAlgn val="ctr"/>
        <c:lblOffset val="100"/>
        <c:noMultiLvlLbl val="0"/>
      </c:catAx>
      <c:valAx>
        <c:axId val="6072679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4453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测评机构测评服务满意度评价</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[郑州.xlsx]专题A!$C$181</c:f>
              <c:strCache>
                <c:ptCount val="1"/>
                <c:pt idx="0">
                  <c:v>郑州占比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[郑州.xlsx]专题A!$A$182:$A$186</c:f>
              <c:strCache>
                <c:ptCount val="5"/>
                <c:pt idx="0">
                  <c:v>非常满意</c:v>
                </c:pt>
                <c:pt idx="1">
                  <c:v>满意</c:v>
                </c:pt>
                <c:pt idx="2">
                  <c:v>一般</c:v>
                </c:pt>
                <c:pt idx="3">
                  <c:v>不满意</c:v>
                </c:pt>
                <c:pt idx="4">
                  <c:v>非常不满意</c:v>
                </c:pt>
              </c:strCache>
            </c:strRef>
          </c:cat>
          <c:val>
            <c:numRef>
              <c:f>[郑州.xlsx]专题A!$C$182:$C$186</c:f>
              <c:numCache>
                <c:formatCode>0.00%</c:formatCode>
                <c:ptCount val="5"/>
                <c:pt idx="0">
                  <c:v>0.3886</c:v>
                </c:pt>
                <c:pt idx="1">
                  <c:v>0.4227</c:v>
                </c:pt>
                <c:pt idx="2">
                  <c:v>0.1773</c:v>
                </c:pt>
                <c:pt idx="3">
                  <c:v>0.0045</c:v>
                </c:pt>
                <c:pt idx="4">
                  <c:v>0.0068</c:v>
                </c:pt>
              </c:numCache>
            </c:numRef>
          </c:val>
        </c:ser>
        <c:ser>
          <c:idx val="3"/>
          <c:order val="3"/>
          <c:tx>
            <c:strRef>
              <c:f>[郑州.xlsx]专题A!$E$181</c:f>
              <c:strCache>
                <c:ptCount val="1"/>
                <c:pt idx="0">
                  <c:v>河南占比</c:v>
                </c:pt>
              </c:strCache>
            </c:strRef>
          </c:tx>
          <c:spPr>
            <a:solidFill>
              <a:schemeClr val="accent1"/>
            </a:solidFill>
            <a:ln>
              <a:noFill/>
            </a:ln>
            <a:effectLst/>
          </c:spPr>
          <c:invertIfNegative val="0"/>
          <c:dLbls>
            <c:dLbl>
              <c:idx val="0"/>
              <c:layout>
                <c:manualLayout>
                  <c:x val="0.025753283543651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6930208601597"/>
                  <c:y val="-0.00374696936301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31496265773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[郑州.xlsx]专题A!$A$182:$A$186</c:f>
              <c:strCache>
                <c:ptCount val="5"/>
                <c:pt idx="0">
                  <c:v>非常满意</c:v>
                </c:pt>
                <c:pt idx="1">
                  <c:v>满意</c:v>
                </c:pt>
                <c:pt idx="2">
                  <c:v>一般</c:v>
                </c:pt>
                <c:pt idx="3">
                  <c:v>不满意</c:v>
                </c:pt>
                <c:pt idx="4">
                  <c:v>非常不满意</c:v>
                </c:pt>
              </c:strCache>
            </c:strRef>
          </c:cat>
          <c:val>
            <c:numRef>
              <c:f>[郑州.xlsx]专题A!$E$182:$E$186</c:f>
              <c:numCache>
                <c:formatCode>0.00%</c:formatCode>
                <c:ptCount val="5"/>
                <c:pt idx="0">
                  <c:v>0.3962</c:v>
                </c:pt>
                <c:pt idx="1">
                  <c:v>0.4002</c:v>
                </c:pt>
                <c:pt idx="2">
                  <c:v>0.1896</c:v>
                </c:pt>
                <c:pt idx="3">
                  <c:v>0.005</c:v>
                </c:pt>
                <c:pt idx="4">
                  <c:v>0.009</c:v>
                </c:pt>
              </c:numCache>
            </c:numRef>
          </c:val>
        </c:ser>
        <c:dLbls>
          <c:showLegendKey val="0"/>
          <c:showVal val="0"/>
          <c:showCatName val="0"/>
          <c:showSerName val="0"/>
          <c:showPercent val="0"/>
          <c:showBubbleSize val="0"/>
        </c:dLbls>
        <c:gapWidth val="219"/>
        <c:overlap val="-27"/>
        <c:axId val="381699792"/>
        <c:axId val="381702032"/>
        <c:extLst>
          <c:ext xmlns:c15="http://schemas.microsoft.com/office/drawing/2012/chart" uri="{02D57815-91ED-43cb-92C2-25804820EDAC}">
            <c15:filteredBarSeries>
              <c15:ser>
                <c:idx val="0"/>
                <c:order val="0"/>
                <c:tx>
                  <c:strRef>
                    <c:extLst>
                      <c:ext uri="{02D57815-91ED-43cb-92C2-25804820EDAC}">
                        <c15:formulaRef>
                          <c15:sqref>[郑州.xlsx]专题A!$B$181</c15:sqref>
                        </c15:formulaRef>
                      </c:ext>
                    </c:extLst>
                    <c:strCache>
                      <c:ptCount val="1"/>
                      <c:pt idx="0">
                        <c:v>郑州数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[郑州.xlsx]专题A!$A$182:$A$186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{171,186,78,2,3}</c15:sqref>
                        </c15:formulaRef>
                      </c:ext>
                    </c:extLst>
                    <c:numCache>
                      <c:formatCode>General</c:formatCode>
                      <c:ptCount val="5"/>
                      <c:pt idx="0">
                        <c:v>171</c:v>
                      </c:pt>
                      <c:pt idx="1">
                        <c:v>186</c:v>
                      </c:pt>
                      <c:pt idx="2">
                        <c:v>78</c:v>
                      </c:pt>
                      <c:pt idx="3">
                        <c:v>2</c:v>
                      </c:pt>
                      <c:pt idx="4">
                        <c:v>3</c:v>
                      </c:pt>
                    </c:numCache>
                  </c:numRef>
                </c:val>
              </c15:ser>
            </c15:filteredBarSeries>
            <c15:filteredBarSeries>
              <c15:ser>
                <c:idx val="2"/>
                <c:order val="2"/>
                <c:tx>
                  <c:strRef>
                    <c:extLst>
                      <c:ext uri="{02D57815-91ED-43cb-92C2-25804820EDAC}">
                        <c15:formulaRef>
                          <c15:sqref>[郑州.xlsx]专题A!$D$181</c15:sqref>
                        </c15:formulaRef>
                      </c:ext>
                    </c:extLst>
                    <c:strCache>
                      <c:ptCount val="1"/>
                      <c:pt idx="0">
                        <c:v>河南数</c:v>
                      </c:pt>
                    </c:strCache>
                  </c:strRef>
                </c:tx>
                <c:spPr>
                  <a:solidFill>
                    <a:schemeClr val="accent3"/>
                  </a:solidFill>
                  <a:ln>
                    <a:noFill/>
                  </a:ln>
                  <a:effectLst/>
                </c:spPr>
                <c:invertIfNegative val="0"/>
                <c:dLbls>
                  <c:delete val="1"/>
                </c:dLbls>
                <c:cat>
                  <c:strRef>
                    <c:extLst>
                      <c:ext uri="{02D57815-91ED-43cb-92C2-25804820EDAC}">
                        <c15:fullRef>
                          <c15:sqref/>
                        </c15:fullRef>
                        <c15:formulaRef>
                          <c15:sqref>[郑州.xlsx]专题A!$A$182:$A$186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{397,401,190,5,9}</c15:sqref>
                        </c15:formulaRef>
                      </c:ext>
                    </c:extLst>
                    <c:numCache>
                      <c:formatCode>General</c:formatCode>
                      <c:ptCount val="5"/>
                      <c:pt idx="0">
                        <c:v>397</c:v>
                      </c:pt>
                      <c:pt idx="1">
                        <c:v>401</c:v>
                      </c:pt>
                      <c:pt idx="2">
                        <c:v>190</c:v>
                      </c:pt>
                      <c:pt idx="3">
                        <c:v>5</c:v>
                      </c:pt>
                      <c:pt idx="4">
                        <c:v>9</c:v>
                      </c:pt>
                    </c:numCache>
                  </c:numRef>
                </c:val>
              </c15:ser>
            </c15:filteredBarSeries>
          </c:ext>
        </c:extLst>
      </c:barChart>
      <c:catAx>
        <c:axId val="38169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702032"/>
        <c:crosses val="autoZero"/>
        <c:auto val="1"/>
        <c:lblAlgn val="ctr"/>
        <c:lblOffset val="100"/>
        <c:noMultiLvlLbl val="0"/>
      </c:catAx>
      <c:valAx>
        <c:axId val="381702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699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所在单位发生网络安全事件占比</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eacdc8d9-653a-4f25-b044-455c7e4e98cb}"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1111111111111"/>
                  <c:y val="-0.0555555555555556"/>
                </c:manualLayout>
              </c:layout>
              <c:tx>
                <c:rich>
                  <a:bodyPr rot="0" spcFirstLastPara="1" vertOverflow="clip" vert="horz" wrap="square" lIns="38100" tIns="19050" rIns="38100" bIns="19050" anchor="ctr" anchorCtr="1"/>
                  <a:lstStyle/>
                  <a:p>
                    <a:fld id="{79afdcd7-bd7d-4484-af23-9ce031b87c41}"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[郑州.xlsx]专题A!$A$202:$A$204</c:f>
              <c:strCache>
                <c:ptCount val="3"/>
                <c:pt idx="0">
                  <c:v>发生过</c:v>
                </c:pt>
                <c:pt idx="1">
                  <c:v>没发生过</c:v>
                </c:pt>
                <c:pt idx="2">
                  <c:v>不清楚</c:v>
                </c:pt>
              </c:strCache>
            </c:strRef>
          </c:cat>
          <c:val>
            <c:numRef>
              <c:f>[郑州.xlsx]专题A!$B$202:$B$204</c:f>
              <c:numCache>
                <c:formatCode>0.00%</c:formatCode>
                <c:ptCount val="3"/>
                <c:pt idx="0">
                  <c:v>0.1887</c:v>
                </c:pt>
                <c:pt idx="1">
                  <c:v>0.5415</c:v>
                </c:pt>
                <c:pt idx="2">
                  <c:v>0.2697</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overlay val="0"/>
      <c:spPr>
        <a:noFill/>
        <a:ln>
          <a:noFill/>
        </a:ln>
        <a:effectLst/>
      </c:spPr>
    </c:title>
    <c:autoTitleDeleted val="0"/>
    <c:plotArea>
      <c:layout/>
      <c:barChart>
        <c:barDir val="bar"/>
        <c:grouping val="clustered"/>
        <c:varyColors val="0"/>
        <c:ser>
          <c:idx val="1"/>
          <c:order val="1"/>
          <c:tx>
            <c:strRef>
              <c:f>[郑州.xlsx]专题A!$C$208</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[郑州.xlsx]专题A!$A$209:$A$215</c:f>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f>[郑州.xlsx]专题A!$C$209:$C$215</c:f>
              <c:numCache>
                <c:formatCode>0.00%</c:formatCode>
                <c:ptCount val="7"/>
                <c:pt idx="0">
                  <c:v>0.0331</c:v>
                </c:pt>
                <c:pt idx="1">
                  <c:v>0.2099</c:v>
                </c:pt>
                <c:pt idx="2">
                  <c:v>0.2486</c:v>
                </c:pt>
                <c:pt idx="3">
                  <c:v>0.326</c:v>
                </c:pt>
                <c:pt idx="4">
                  <c:v>0.3315</c:v>
                </c:pt>
                <c:pt idx="5">
                  <c:v>0.3591</c:v>
                </c:pt>
                <c:pt idx="6">
                  <c:v>0.5912</c:v>
                </c:pt>
              </c:numCache>
            </c:numRef>
          </c:val>
        </c:ser>
        <c:ser>
          <c:idx val="3"/>
          <c:order val="3"/>
          <c:tx>
            <c:strRef>
              <c:f>[郑州.xlsx]专题A!$E$208</c:f>
              <c:strCache>
                <c:ptCount val="1"/>
                <c:pt idx="0">
                  <c:v>河南占比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[郑州.xlsx]专题A!$A$209:$A$215</c:f>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f>[郑州.xlsx]专题A!$E$209:$E$215</c:f>
              <c:numCache>
                <c:formatCode>0.00%</c:formatCode>
                <c:ptCount val="7"/>
                <c:pt idx="0">
                  <c:v>0.0379</c:v>
                </c:pt>
                <c:pt idx="1">
                  <c:v>0.2323</c:v>
                </c:pt>
                <c:pt idx="2">
                  <c:v>0.2677</c:v>
                </c:pt>
                <c:pt idx="3">
                  <c:v>0.3283</c:v>
                </c:pt>
                <c:pt idx="4">
                  <c:v>0.298</c:v>
                </c:pt>
                <c:pt idx="5">
                  <c:v>0.3586</c:v>
                </c:pt>
                <c:pt idx="6">
                  <c:v>0.596</c:v>
                </c:pt>
              </c:numCache>
            </c:numRef>
          </c:val>
        </c:ser>
        <c:dLbls>
          <c:showLegendKey val="0"/>
          <c:showVal val="1"/>
          <c:showCatName val="0"/>
          <c:showSerName val="0"/>
          <c:showPercent val="0"/>
          <c:showBubbleSize val="0"/>
        </c:dLbls>
        <c:gapWidth val="182"/>
        <c:axId val="615832112"/>
        <c:axId val="583958150"/>
        <c:extLst>
          <c:ext xmlns:c15="http://schemas.microsoft.com/office/drawing/2012/chart" uri="{02D57815-91ED-43cb-92C2-25804820EDAC}">
            <c15:filteredBarSeries>
              <c15:ser>
                <c:idx val="0"/>
                <c:order val="0"/>
                <c:tx>
                  <c:strRef>
                    <c:extLst>
                      <c:ext uri="{02D57815-91ED-43cb-92C2-25804820EDAC}">
                        <c15:formulaRef>
                          <c15:sqref>[郑州.xlsx]专题A!$B$208</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[郑州.xlsx]专题A!$A$209:$A$215</c15:sqref>
                        </c15:formulaRef>
                      </c:ext>
                    </c:extLst>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extLst>
                      <c:ext uri="{02D57815-91ED-43cb-92C2-25804820EDAC}">
                        <c15:formulaRef>
                          <c15:sqref>{6,38,45,59,60,65,107}</c15:sqref>
                        </c15:formulaRef>
                      </c:ext>
                    </c:extLst>
                    <c:numCache>
                      <c:formatCode>General</c:formatCode>
                      <c:ptCount val="7"/>
                      <c:pt idx="0">
                        <c:v>6</c:v>
                      </c:pt>
                      <c:pt idx="1">
                        <c:v>38</c:v>
                      </c:pt>
                      <c:pt idx="2">
                        <c:v>45</c:v>
                      </c:pt>
                      <c:pt idx="3">
                        <c:v>59</c:v>
                      </c:pt>
                      <c:pt idx="4">
                        <c:v>60</c:v>
                      </c:pt>
                      <c:pt idx="5">
                        <c:v>65</c:v>
                      </c:pt>
                      <c:pt idx="6">
                        <c:v>107</c:v>
                      </c:pt>
                    </c:numCache>
                  </c:numRef>
                </c:val>
              </c15:ser>
            </c15:filteredBarSeries>
            <c15:filteredBarSeries>
              <c15:ser>
                <c:idx val="2"/>
                <c:order val="2"/>
                <c:tx>
                  <c:strRef>
                    <c:extLst>
                      <c:ext uri="{02D57815-91ED-43cb-92C2-25804820EDAC}">
                        <c15:formulaRef>
                          <c15:sqref>[郑州.xlsx]专题A!$D$208</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[郑州.xlsx]专题A!$A$209:$A$215</c15:sqref>
                        </c15:formulaRef>
                      </c:ext>
                    </c:extLst>
                    <c:strCache>
                      <c:ptCount val="7"/>
                      <c:pt idx="0">
                        <c:v>其他</c:v>
                      </c:pt>
                      <c:pt idx="1">
                        <c:v>遭受拒绝服务攻击</c:v>
                      </c:pt>
                      <c:pt idx="2">
                        <c:v>数据信息泄露</c:v>
                      </c:pt>
                      <c:pt idx="3">
                        <c:v>网络和信息系统瘫痪</c:v>
                      </c:pt>
                      <c:pt idx="4">
                        <c:v>网站被挂马或植入暗链</c:v>
                      </c:pt>
                      <c:pt idx="5">
                        <c:v>感染病毒或恶意程序</c:v>
                      </c:pt>
                      <c:pt idx="6">
                        <c:v>单位网站被攻击</c:v>
                      </c:pt>
                    </c:strCache>
                  </c:strRef>
                </c:cat>
                <c:val>
                  <c:numRef>
                    <c:extLst>
                      <c:ext uri="{02D57815-91ED-43cb-92C2-25804820EDAC}">
                        <c15:formulaRef>
                          <c15:sqref>{15,92,106,130,118,142,236}</c15:sqref>
                        </c15:formulaRef>
                      </c:ext>
                    </c:extLst>
                    <c:numCache>
                      <c:formatCode>General</c:formatCode>
                      <c:ptCount val="7"/>
                      <c:pt idx="0">
                        <c:v>15</c:v>
                      </c:pt>
                      <c:pt idx="1">
                        <c:v>92</c:v>
                      </c:pt>
                      <c:pt idx="2">
                        <c:v>106</c:v>
                      </c:pt>
                      <c:pt idx="3">
                        <c:v>130</c:v>
                      </c:pt>
                      <c:pt idx="4">
                        <c:v>118</c:v>
                      </c:pt>
                      <c:pt idx="5">
                        <c:v>142</c:v>
                      </c:pt>
                      <c:pt idx="6">
                        <c:v>236</c:v>
                      </c:pt>
                    </c:numCache>
                  </c:numRef>
                </c:val>
              </c15:ser>
            </c15:filteredBarSeries>
          </c:ext>
        </c:extLst>
      </c:barChart>
      <c:catAx>
        <c:axId val="6158321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958150"/>
        <c:crosses val="autoZero"/>
        <c:auto val="1"/>
        <c:lblAlgn val="ctr"/>
        <c:lblOffset val="100"/>
        <c:noMultiLvlLbl val="0"/>
      </c:catAx>
      <c:valAx>
        <c:axId val="5839581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832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manualLayout>
          <c:xMode val="edge"/>
          <c:yMode val="edge"/>
          <c:x val="0.105416666666667"/>
          <c:y val="0.0277777777777778"/>
        </c:manualLayout>
      </c:layout>
      <c:overlay val="0"/>
      <c:spPr>
        <a:noFill/>
        <a:ln>
          <a:noFill/>
        </a:ln>
        <a:effectLst/>
      </c:spPr>
    </c:title>
    <c:autoTitleDeleted val="0"/>
    <c:plotArea>
      <c:layout/>
      <c:barChart>
        <c:barDir val="col"/>
        <c:grouping val="clustered"/>
        <c:varyColors val="0"/>
        <c:ser>
          <c:idx val="1"/>
          <c:order val="1"/>
          <c:tx>
            <c:strRef>
              <c:f>[郑州.xlsx]专题A!$C$219</c:f>
              <c:strCache>
                <c:ptCount val="1"/>
                <c:pt idx="0">
                  <c:v>郑州占比</c:v>
                </c:pt>
              </c:strCache>
            </c:strRef>
          </c:tx>
          <c:spPr>
            <a:solidFill>
              <a:schemeClr val="accent2"/>
            </a:solidFill>
            <a:ln>
              <a:noFill/>
            </a:ln>
            <a:effectLst/>
          </c:spPr>
          <c:invertIfNegative val="0"/>
          <c:dLbls>
            <c:dLbl>
              <c:idx val="2"/>
              <c:layout>
                <c:manualLayout>
                  <c:x val="-0.0254166666666667"/>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5555555555556"/>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68518518518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[郑州.xlsx]专题A!$A$220:$A$225</c:f>
              <c:strCache>
                <c:ptCount val="6"/>
                <c:pt idx="0">
                  <c:v>很完善</c:v>
                </c:pt>
                <c:pt idx="1">
                  <c:v>较完善</c:v>
                </c:pt>
                <c:pt idx="2">
                  <c:v>一般</c:v>
                </c:pt>
                <c:pt idx="3">
                  <c:v>较不完善</c:v>
                </c:pt>
                <c:pt idx="4">
                  <c:v>很不完善</c:v>
                </c:pt>
                <c:pt idx="5">
                  <c:v>没有预案</c:v>
                </c:pt>
              </c:strCache>
            </c:strRef>
          </c:cat>
          <c:val>
            <c:numRef>
              <c:f>[郑州.xlsx]专题A!$C$220:$C$225</c:f>
              <c:numCache>
                <c:formatCode>0.00%</c:formatCode>
                <c:ptCount val="6"/>
                <c:pt idx="0">
                  <c:v>0.3889</c:v>
                </c:pt>
                <c:pt idx="1">
                  <c:v>0.2944</c:v>
                </c:pt>
                <c:pt idx="2">
                  <c:v>0.1944</c:v>
                </c:pt>
                <c:pt idx="3">
                  <c:v>0.0556</c:v>
                </c:pt>
                <c:pt idx="4">
                  <c:v>0.0278</c:v>
                </c:pt>
                <c:pt idx="5">
                  <c:v>0.0389</c:v>
                </c:pt>
              </c:numCache>
            </c:numRef>
          </c:val>
        </c:ser>
        <c:ser>
          <c:idx val="3"/>
          <c:order val="3"/>
          <c:tx>
            <c:strRef>
              <c:f>[郑州.xlsx]专题A!$E$219</c:f>
              <c:strCache>
                <c:ptCount val="1"/>
                <c:pt idx="0">
                  <c:v>河南占比</c:v>
                </c:pt>
              </c:strCache>
            </c:strRef>
          </c:tx>
          <c:spPr>
            <a:solidFill>
              <a:schemeClr val="accent4"/>
            </a:solidFill>
            <a:ln>
              <a:noFill/>
            </a:ln>
            <a:effectLst/>
          </c:spPr>
          <c:invertIfNegative val="0"/>
          <c:dLbls>
            <c:dLbl>
              <c:idx val="0"/>
              <c:layout>
                <c:manualLayout>
                  <c:x val="0.0208333333333333"/>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5277777777778"/>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84722222222222"/>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[郑州.xlsx]专题A!$A$220:$A$225</c:f>
              <c:strCache>
                <c:ptCount val="6"/>
                <c:pt idx="0">
                  <c:v>很完善</c:v>
                </c:pt>
                <c:pt idx="1">
                  <c:v>较完善</c:v>
                </c:pt>
                <c:pt idx="2">
                  <c:v>一般</c:v>
                </c:pt>
                <c:pt idx="3">
                  <c:v>较不完善</c:v>
                </c:pt>
                <c:pt idx="4">
                  <c:v>很不完善</c:v>
                </c:pt>
                <c:pt idx="5">
                  <c:v>没有预案</c:v>
                </c:pt>
              </c:strCache>
            </c:strRef>
          </c:cat>
          <c:val>
            <c:numRef>
              <c:f>[郑州.xlsx]专题A!$E$220:$E$225</c:f>
              <c:numCache>
                <c:formatCode>0.00%</c:formatCode>
                <c:ptCount val="6"/>
                <c:pt idx="0">
                  <c:v>0.3924</c:v>
                </c:pt>
                <c:pt idx="1">
                  <c:v>0.2709</c:v>
                </c:pt>
                <c:pt idx="2">
                  <c:v>0.2076</c:v>
                </c:pt>
                <c:pt idx="3">
                  <c:v>0.0658</c:v>
                </c:pt>
                <c:pt idx="4">
                  <c:v>0.0278</c:v>
                </c:pt>
                <c:pt idx="5">
                  <c:v>0.0354</c:v>
                </c:pt>
              </c:numCache>
            </c:numRef>
          </c:val>
        </c:ser>
        <c:dLbls>
          <c:showLegendKey val="0"/>
          <c:showVal val="1"/>
          <c:showCatName val="0"/>
          <c:showSerName val="0"/>
          <c:showPercent val="0"/>
          <c:showBubbleSize val="0"/>
        </c:dLbls>
        <c:gapWidth val="219"/>
        <c:overlap val="-27"/>
        <c:axId val="663778708"/>
        <c:axId val="982570512"/>
        <c:extLst>
          <c:ext xmlns:c15="http://schemas.microsoft.com/office/drawing/2012/chart" uri="{02D57815-91ED-43cb-92C2-25804820EDAC}">
            <c15:filteredBarSeries>
              <c15:ser>
                <c:idx val="0"/>
                <c:order val="0"/>
                <c:tx>
                  <c:strRef>
                    <c:extLst>
                      <c:ext uri="{02D57815-91ED-43cb-92C2-25804820EDAC}">
                        <c15:formulaRef>
                          <c15:sqref>[郑州.xlsx]专题A!$B$219</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[郑州.xlsx]专题A!$A$220:$A$225</c15:sqref>
                        </c15:formulaRef>
                      </c:ext>
                    </c:extLst>
                    <c:strCache>
                      <c:ptCount val="6"/>
                      <c:pt idx="0">
                        <c:v>很完善</c:v>
                      </c:pt>
                      <c:pt idx="1">
                        <c:v>较完善</c:v>
                      </c:pt>
                      <c:pt idx="2">
                        <c:v>一般</c:v>
                      </c:pt>
                      <c:pt idx="3">
                        <c:v>较不完善</c:v>
                      </c:pt>
                      <c:pt idx="4">
                        <c:v>很不完善</c:v>
                      </c:pt>
                      <c:pt idx="5">
                        <c:v>没有预案</c:v>
                      </c:pt>
                    </c:strCache>
                  </c:strRef>
                </c:cat>
                <c:val>
                  <c:numRef>
                    <c:extLst>
                      <c:ext uri="{02D57815-91ED-43cb-92C2-25804820EDAC}">
                        <c15:formulaRef>
                          <c15:sqref>{70,53,35,10,5,7}</c15:sqref>
                        </c15:formulaRef>
                      </c:ext>
                    </c:extLst>
                    <c:numCache>
                      <c:formatCode>General</c:formatCode>
                      <c:ptCount val="6"/>
                      <c:pt idx="0">
                        <c:v>70</c:v>
                      </c:pt>
                      <c:pt idx="1">
                        <c:v>53</c:v>
                      </c:pt>
                      <c:pt idx="2">
                        <c:v>35</c:v>
                      </c:pt>
                      <c:pt idx="3">
                        <c:v>10</c:v>
                      </c:pt>
                      <c:pt idx="4">
                        <c:v>5</c:v>
                      </c:pt>
                      <c:pt idx="5">
                        <c:v>7</c:v>
                      </c:pt>
                    </c:numCache>
                  </c:numRef>
                </c:val>
              </c15:ser>
            </c15:filteredBarSeries>
            <c15:filteredBarSeries>
              <c15:ser>
                <c:idx val="2"/>
                <c:order val="2"/>
                <c:tx>
                  <c:strRef>
                    <c:extLst>
                      <c:ext uri="{02D57815-91ED-43cb-92C2-25804820EDAC}">
                        <c15:formulaRef>
                          <c15:sqref>[郑州.xlsx]专题A!$D$219</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[郑州.xlsx]专题A!$A$220:$A$225</c15:sqref>
                        </c15:formulaRef>
                      </c:ext>
                    </c:extLst>
                    <c:strCache>
                      <c:ptCount val="6"/>
                      <c:pt idx="0">
                        <c:v>很完善</c:v>
                      </c:pt>
                      <c:pt idx="1">
                        <c:v>较完善</c:v>
                      </c:pt>
                      <c:pt idx="2">
                        <c:v>一般</c:v>
                      </c:pt>
                      <c:pt idx="3">
                        <c:v>较不完善</c:v>
                      </c:pt>
                      <c:pt idx="4">
                        <c:v>很不完善</c:v>
                      </c:pt>
                      <c:pt idx="5">
                        <c:v>没有预案</c:v>
                      </c:pt>
                    </c:strCache>
                  </c:strRef>
                </c:cat>
                <c:val>
                  <c:numRef>
                    <c:extLst>
                      <c:ext uri="{02D57815-91ED-43cb-92C2-25804820EDAC}">
                        <c15:formulaRef>
                          <c15:sqref>{155,107,82,26,11,14}</c15:sqref>
                        </c15:formulaRef>
                      </c:ext>
                    </c:extLst>
                    <c:numCache>
                      <c:formatCode>General</c:formatCode>
                      <c:ptCount val="6"/>
                      <c:pt idx="0">
                        <c:v>155</c:v>
                      </c:pt>
                      <c:pt idx="1">
                        <c:v>107</c:v>
                      </c:pt>
                      <c:pt idx="2">
                        <c:v>82</c:v>
                      </c:pt>
                      <c:pt idx="3">
                        <c:v>26</c:v>
                      </c:pt>
                      <c:pt idx="4">
                        <c:v>11</c:v>
                      </c:pt>
                      <c:pt idx="5">
                        <c:v>14</c:v>
                      </c:pt>
                    </c:numCache>
                  </c:numRef>
                </c:val>
              </c15:ser>
            </c15:filteredBarSeries>
          </c:ext>
        </c:extLst>
      </c:barChart>
      <c:catAx>
        <c:axId val="6637787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570512"/>
        <c:crosses val="autoZero"/>
        <c:auto val="1"/>
        <c:lblAlgn val="ctr"/>
        <c:lblOffset val="100"/>
        <c:noMultiLvlLbl val="0"/>
      </c:catAx>
      <c:valAx>
        <c:axId val="982570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37787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郑州从业人员学历分布图</a:t>
            </a:r>
            <a:endParaRPr lang="zh-CN" altLang="en-US"/>
          </a:p>
        </c:rich>
      </c:tx>
      <c:layout/>
      <c:overlay val="0"/>
      <c:spPr>
        <a:noFill/>
        <a:ln>
          <a:noFill/>
        </a:ln>
        <a:effectLst/>
      </c:spPr>
    </c:title>
    <c:autoTitleDeleted val="0"/>
    <c:plotArea>
      <c:layout>
        <c:manualLayout>
          <c:layoutTarget val="inner"/>
          <c:xMode val="edge"/>
          <c:yMode val="edge"/>
          <c:x val="0.27767595047563"/>
          <c:y val="0.247685195834174"/>
          <c:w val="0.441681290640574"/>
          <c:h val="0.643685114342026"/>
        </c:manualLayout>
      </c:layout>
      <c:pieChart>
        <c:varyColors val="1"/>
        <c:ser>
          <c:idx val="0"/>
          <c:order val="0"/>
          <c:explosion val="0"/>
          <c:dPt>
            <c:idx val="0"/>
            <c:bubble3D val="0"/>
            <c:spPr>
              <a:solidFill>
                <a:schemeClr val="tx2">
                  <a:lumMod val="60000"/>
                  <a:lumOff val="4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accent2">
                            <a:lumMod val="20000"/>
                            <a:lumOff val="80000"/>
                          </a:schemeClr>
                        </a:solidFill>
                        <a:latin typeface="+mn-lt"/>
                        <a:ea typeface="+mn-ea"/>
                        <a:cs typeface="+mn-cs"/>
                      </a:defRPr>
                    </a:pPr>
                    <a:r>
                      <a:rPr lang="zh-CN" altLang="en-US">
                        <a:solidFill>
                          <a:srgbClr val="00B0F0"/>
                        </a:solidFill>
                      </a:rPr>
                      <a:t>高中以下</a:t>
                    </a:r>
                    <a:endParaRPr lang="zh-CN" altLang="en-US">
                      <a:solidFill>
                        <a:srgbClr val="00B0F0"/>
                      </a:solidFill>
                    </a:endParaRPr>
                  </a:p>
                  <a:p>
                    <a:pPr defTabSz="914400">
                      <a:defRPr lang="zh-CN" sz="1000" b="1" i="0" u="none" strike="noStrike" kern="1200" baseline="0">
                        <a:solidFill>
                          <a:schemeClr val="accent2">
                            <a:lumMod val="20000"/>
                            <a:lumOff val="80000"/>
                          </a:schemeClr>
                        </a:solidFill>
                        <a:latin typeface="+mn-lt"/>
                        <a:ea typeface="+mn-ea"/>
                        <a:cs typeface="+mn-cs"/>
                      </a:defRPr>
                    </a:pPr>
                    <a:r>
                      <a:rPr lang="en-US" altLang="zh-CN">
                        <a:solidFill>
                          <a:srgbClr val="00B0F0"/>
                        </a:solidFill>
                      </a:rPr>
                      <a:t>19%</a:t>
                    </a:r>
                    <a:endParaRPr lang="en-US" altLang="zh-CN">
                      <a:solidFill>
                        <a:srgbClr val="00B0F0"/>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accent2">
                          <a:lumMod val="20000"/>
                          <a:lumOff val="8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6666666666667"/>
                  <c:y val="-0.03472222222222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bg1">
                            <a:lumMod val="85000"/>
                          </a:schemeClr>
                        </a:solidFill>
                        <a:latin typeface="+mn-lt"/>
                        <a:ea typeface="+mn-ea"/>
                        <a:cs typeface="+mn-cs"/>
                      </a:defRPr>
                    </a:pPr>
                    <a:r>
                      <a:rPr lang="zh-CN" altLang="en-US">
                        <a:solidFill>
                          <a:srgbClr val="92D050"/>
                        </a:solidFill>
                      </a:rPr>
                      <a:t>大学专科</a:t>
                    </a:r>
                    <a:endParaRPr lang="zh-CN" altLang="en-US">
                      <a:solidFill>
                        <a:srgbClr val="92D050"/>
                      </a:solidFill>
                    </a:endParaRPr>
                  </a:p>
                  <a:p>
                    <a:pPr defTabSz="914400">
                      <a:defRPr lang="zh-CN" sz="1000" b="1" i="0" u="none" strike="noStrike" kern="1200" baseline="0">
                        <a:solidFill>
                          <a:schemeClr val="bg1">
                            <a:lumMod val="85000"/>
                          </a:schemeClr>
                        </a:solidFill>
                        <a:latin typeface="+mn-lt"/>
                        <a:ea typeface="+mn-ea"/>
                        <a:cs typeface="+mn-cs"/>
                      </a:defRPr>
                    </a:pPr>
                    <a:r>
                      <a:rPr lang="en-US" altLang="zh-CN">
                        <a:solidFill>
                          <a:srgbClr val="92D050"/>
                        </a:solidFill>
                      </a:rPr>
                      <a:t>29%</a:t>
                    </a:r>
                    <a:endParaRPr lang="en-US" altLang="zh-CN">
                      <a:solidFill>
                        <a:srgbClr val="92D050"/>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bg1">
                          <a:lumMod val="85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0625"/>
                  <c:y val="0.079861111111111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accent4">
                          <a:lumMod val="40000"/>
                          <a:lumOff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41666666666667"/>
                  <c:y val="-0.031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83333333333333"/>
                  <c:y val="0.02430555555555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[郑州.xlsx]主卷!$A$31:$A$36</c:f>
              <c:strCache>
                <c:ptCount val="6"/>
                <c:pt idx="0">
                  <c:v>高中以下</c:v>
                </c:pt>
                <c:pt idx="1">
                  <c:v>高中（职高、中专、技校）</c:v>
                </c:pt>
                <c:pt idx="2">
                  <c:v>大学专科</c:v>
                </c:pt>
                <c:pt idx="3">
                  <c:v>大学本科</c:v>
                </c:pt>
                <c:pt idx="4">
                  <c:v>硕士研究生</c:v>
                </c:pt>
                <c:pt idx="5">
                  <c:v>博士研究生</c:v>
                </c:pt>
              </c:strCache>
            </c:strRef>
          </c:cat>
          <c:val>
            <c:numRef>
              <c:f>[郑州.xlsx]主卷!$B$31:$B$36</c:f>
              <c:numCache>
                <c:formatCode>0.00%</c:formatCode>
                <c:ptCount val="6"/>
                <c:pt idx="0">
                  <c:v>0.1882</c:v>
                </c:pt>
                <c:pt idx="1">
                  <c:v>0.2597</c:v>
                </c:pt>
                <c:pt idx="2">
                  <c:v>0.2912</c:v>
                </c:pt>
                <c:pt idx="3">
                  <c:v>0.2335</c:v>
                </c:pt>
                <c:pt idx="4">
                  <c:v>0.0213</c:v>
                </c:pt>
                <c:pt idx="5">
                  <c:v>0.0061</c:v>
                </c:pt>
              </c:numCache>
            </c:numRef>
          </c:val>
        </c:ser>
        <c:dLbls>
          <c:showLegendKey val="0"/>
          <c:showVal val="1"/>
          <c:showCatName val="0"/>
          <c:showSerName val="0"/>
          <c:showPercent val="0"/>
          <c:showBubbleSize val="0"/>
          <c:showLeaderLines val="0"/>
        </c:dLbls>
        <c:firstSliceAng val="4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发生网络安全事件报案情况</a:t>
            </a:r>
          </a:p>
        </c:rich>
      </c:tx>
      <c:layout/>
      <c:overlay val="0"/>
      <c:spPr>
        <a:noFill/>
        <a:ln>
          <a:noFill/>
        </a:ln>
        <a:effectLst/>
      </c:spPr>
    </c:title>
    <c:autoTitleDeleted val="0"/>
    <c:plotArea>
      <c:layout/>
      <c:barChart>
        <c:barDir val="col"/>
        <c:grouping val="clustered"/>
        <c:varyColors val="0"/>
        <c:ser>
          <c:idx val="1"/>
          <c:order val="1"/>
          <c:tx>
            <c:strRef>
              <c:f>[郑州.xlsx]专题A!$C$229</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[郑州.xlsx]专题A!$A$230:$A$233</c:f>
              <c:strCache>
                <c:ptCount val="4"/>
                <c:pt idx="0">
                  <c:v>报案了</c:v>
                </c:pt>
                <c:pt idx="1">
                  <c:v>没有报案</c:v>
                </c:pt>
                <c:pt idx="2">
                  <c:v>担心被处罚不敢报案</c:v>
                </c:pt>
                <c:pt idx="3">
                  <c:v>不知道如何报案</c:v>
                </c:pt>
              </c:strCache>
            </c:strRef>
          </c:cat>
          <c:val>
            <c:numRef>
              <c:f>[郑州.xlsx]专题A!$C$230:$C$233</c:f>
              <c:numCache>
                <c:formatCode>0.00%</c:formatCode>
                <c:ptCount val="4"/>
                <c:pt idx="0">
                  <c:v>0.5955</c:v>
                </c:pt>
                <c:pt idx="1">
                  <c:v>0.2303</c:v>
                </c:pt>
                <c:pt idx="2">
                  <c:v>0.0843</c:v>
                </c:pt>
                <c:pt idx="3">
                  <c:v>0.0899</c:v>
                </c:pt>
              </c:numCache>
            </c:numRef>
          </c:val>
        </c:ser>
        <c:ser>
          <c:idx val="3"/>
          <c:order val="3"/>
          <c:tx>
            <c:strRef>
              <c:f>[郑州.xlsx]专题A!$E$229</c:f>
              <c:strCache>
                <c:ptCount val="1"/>
                <c:pt idx="0">
                  <c:v>河南占比</c:v>
                </c:pt>
              </c:strCache>
            </c:strRef>
          </c:tx>
          <c:spPr>
            <a:solidFill>
              <a:schemeClr val="accent4"/>
            </a:solidFill>
            <a:ln>
              <a:noFill/>
            </a:ln>
            <a:effectLst/>
          </c:spPr>
          <c:invertIfNegative val="0"/>
          <c:dLbls>
            <c:dLbl>
              <c:idx val="0"/>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25"/>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[郑州.xlsx]专题A!$A$230:$A$233</c:f>
              <c:strCache>
                <c:ptCount val="4"/>
                <c:pt idx="0">
                  <c:v>报案了</c:v>
                </c:pt>
                <c:pt idx="1">
                  <c:v>没有报案</c:v>
                </c:pt>
                <c:pt idx="2">
                  <c:v>担心被处罚不敢报案</c:v>
                </c:pt>
                <c:pt idx="3">
                  <c:v>不知道如何报案</c:v>
                </c:pt>
              </c:strCache>
            </c:strRef>
          </c:cat>
          <c:val>
            <c:numRef>
              <c:f>[郑州.xlsx]专题A!$E$230:$E$233</c:f>
              <c:numCache>
                <c:formatCode>0.00%</c:formatCode>
                <c:ptCount val="4"/>
                <c:pt idx="0">
                  <c:v>0.6015</c:v>
                </c:pt>
                <c:pt idx="1">
                  <c:v>0.2416</c:v>
                </c:pt>
                <c:pt idx="2">
                  <c:v>0.0694</c:v>
                </c:pt>
                <c:pt idx="3">
                  <c:v>0.0874</c:v>
                </c:pt>
              </c:numCache>
            </c:numRef>
          </c:val>
        </c:ser>
        <c:dLbls>
          <c:showLegendKey val="0"/>
          <c:showVal val="1"/>
          <c:showCatName val="0"/>
          <c:showSerName val="0"/>
          <c:showPercent val="0"/>
          <c:showBubbleSize val="0"/>
        </c:dLbls>
        <c:gapWidth val="219"/>
        <c:overlap val="-27"/>
        <c:axId val="226957152"/>
        <c:axId val="420545017"/>
        <c:extLst>
          <c:ext xmlns:c15="http://schemas.microsoft.com/office/drawing/2012/chart" uri="{02D57815-91ED-43cb-92C2-25804820EDAC}">
            <c15:filteredBarSeries>
              <c15:ser>
                <c:idx val="0"/>
                <c:order val="0"/>
                <c:tx>
                  <c:strRef>
                    <c:extLst>
                      <c:ext uri="{02D57815-91ED-43cb-92C2-25804820EDAC}">
                        <c15:formulaRef>
                          <c15:sqref>[郑州.xlsx]专题A!$B$229</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[郑州.xlsx]专题A!$A$230:$A$233</c15:sqref>
                        </c15:formulaRef>
                      </c:ext>
                    </c:extLst>
                    <c:strCache>
                      <c:ptCount val="4"/>
                      <c:pt idx="0">
                        <c:v>报案了</c:v>
                      </c:pt>
                      <c:pt idx="1">
                        <c:v>没有报案</c:v>
                      </c:pt>
                      <c:pt idx="2">
                        <c:v>担心被处罚不敢报案</c:v>
                      </c:pt>
                      <c:pt idx="3">
                        <c:v>不知道如何报案</c:v>
                      </c:pt>
                    </c:strCache>
                  </c:strRef>
                </c:cat>
                <c:val>
                  <c:numRef>
                    <c:extLst>
                      <c:ext uri="{02D57815-91ED-43cb-92C2-25804820EDAC}">
                        <c15:formulaRef>
                          <c15:sqref>{106,41,15,16}</c15:sqref>
                        </c15:formulaRef>
                      </c:ext>
                    </c:extLst>
                    <c:numCache>
                      <c:formatCode>General</c:formatCode>
                      <c:ptCount val="4"/>
                      <c:pt idx="0">
                        <c:v>106</c:v>
                      </c:pt>
                      <c:pt idx="1">
                        <c:v>41</c:v>
                      </c:pt>
                      <c:pt idx="2">
                        <c:v>15</c:v>
                      </c:pt>
                      <c:pt idx="3">
                        <c:v>16</c:v>
                      </c:pt>
                    </c:numCache>
                  </c:numRef>
                </c:val>
              </c15:ser>
            </c15:filteredBarSeries>
            <c15:filteredBarSeries>
              <c15:ser>
                <c:idx val="2"/>
                <c:order val="2"/>
                <c:tx>
                  <c:strRef>
                    <c:extLst>
                      <c:ext uri="{02D57815-91ED-43cb-92C2-25804820EDAC}">
                        <c15:formulaRef>
                          <c15:sqref>[郑州.xlsx]专题A!$D$229</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[郑州.xlsx]专题A!$A$230:$A$233</c15:sqref>
                        </c15:formulaRef>
                      </c:ext>
                    </c:extLst>
                    <c:strCache>
                      <c:ptCount val="4"/>
                      <c:pt idx="0">
                        <c:v>报案了</c:v>
                      </c:pt>
                      <c:pt idx="1">
                        <c:v>没有报案</c:v>
                      </c:pt>
                      <c:pt idx="2">
                        <c:v>担心被处罚不敢报案</c:v>
                      </c:pt>
                      <c:pt idx="3">
                        <c:v>不知道如何报案</c:v>
                      </c:pt>
                    </c:strCache>
                  </c:strRef>
                </c:cat>
                <c:val>
                  <c:numRef>
                    <c:extLst>
                      <c:ext uri="{02D57815-91ED-43cb-92C2-25804820EDAC}">
                        <c15:formulaRef>
                          <c15:sqref>{234,94,27,34}</c15:sqref>
                        </c15:formulaRef>
                      </c:ext>
                    </c:extLst>
                    <c:numCache>
                      <c:formatCode>General</c:formatCode>
                      <c:ptCount val="4"/>
                      <c:pt idx="0">
                        <c:v>234</c:v>
                      </c:pt>
                      <c:pt idx="1">
                        <c:v>94</c:v>
                      </c:pt>
                      <c:pt idx="2">
                        <c:v>27</c:v>
                      </c:pt>
                      <c:pt idx="3">
                        <c:v>34</c:v>
                      </c:pt>
                    </c:numCache>
                  </c:numRef>
                </c:val>
              </c15:ser>
            </c15:filteredBarSeries>
          </c:ext>
        </c:extLst>
      </c:barChart>
      <c:catAx>
        <c:axId val="2269571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545017"/>
        <c:crosses val="autoZero"/>
        <c:auto val="1"/>
        <c:lblAlgn val="ctr"/>
        <c:lblOffset val="100"/>
        <c:noMultiLvlLbl val="0"/>
      </c:catAx>
      <c:valAx>
        <c:axId val="42054501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957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manualLayout>
          <c:xMode val="edge"/>
          <c:yMode val="edge"/>
          <c:x val="0.122222222222222"/>
          <c:y val="0.0324074074074074"/>
        </c:manualLayout>
      </c:layout>
      <c:overlay val="0"/>
      <c:spPr>
        <a:noFill/>
        <a:ln>
          <a:noFill/>
        </a:ln>
        <a:effectLst/>
      </c:spPr>
    </c:title>
    <c:autoTitleDeleted val="0"/>
    <c:plotArea>
      <c:layout>
        <c:manualLayout>
          <c:layoutTarget val="inner"/>
          <c:xMode val="edge"/>
          <c:yMode val="edge"/>
          <c:x val="0.124428258967629"/>
          <c:y val="0.176851851851852"/>
          <c:w val="0.853349518810149"/>
          <c:h val="0.606535433070866"/>
        </c:manualLayout>
      </c:layout>
      <c:barChart>
        <c:barDir val="col"/>
        <c:grouping val="clustered"/>
        <c:varyColors val="0"/>
        <c:ser>
          <c:idx val="1"/>
          <c:order val="1"/>
          <c:tx>
            <c:strRef>
              <c:f>[郑州.xlsx]专题A!$C$237</c:f>
              <c:strCache>
                <c:ptCount val="1"/>
                <c:pt idx="0">
                  <c:v>郑州占比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[郑州.xlsx]专题A!$A$238:$A$242</c:f>
              <c:strCache>
                <c:ptCount val="5"/>
                <c:pt idx="0">
                  <c:v>非常满意</c:v>
                </c:pt>
                <c:pt idx="1">
                  <c:v>满意</c:v>
                </c:pt>
                <c:pt idx="2">
                  <c:v>一般</c:v>
                </c:pt>
                <c:pt idx="3">
                  <c:v>不满意</c:v>
                </c:pt>
                <c:pt idx="4">
                  <c:v>非常不满意</c:v>
                </c:pt>
              </c:strCache>
            </c:strRef>
          </c:cat>
          <c:val>
            <c:numRef>
              <c:f>[郑州.xlsx]专题A!$C$238:$C$242</c:f>
              <c:numCache>
                <c:formatCode>0.00%</c:formatCode>
                <c:ptCount val="5"/>
                <c:pt idx="0">
                  <c:v>0.6117</c:v>
                </c:pt>
                <c:pt idx="1">
                  <c:v>0.2136</c:v>
                </c:pt>
                <c:pt idx="2">
                  <c:v>0.1456</c:v>
                </c:pt>
                <c:pt idx="3">
                  <c:v>0.0097</c:v>
                </c:pt>
                <c:pt idx="4">
                  <c:v>0.0194</c:v>
                </c:pt>
              </c:numCache>
            </c:numRef>
          </c:val>
        </c:ser>
        <c:ser>
          <c:idx val="3"/>
          <c:order val="3"/>
          <c:tx>
            <c:strRef>
              <c:f>[郑州.xlsx]专题A!$E$237</c:f>
              <c:strCache>
                <c:ptCount val="1"/>
                <c:pt idx="0">
                  <c:v>河南占比</c:v>
                </c:pt>
              </c:strCache>
            </c:strRef>
          </c:tx>
          <c:spPr>
            <a:solidFill>
              <a:schemeClr val="accent1"/>
            </a:solidFill>
            <a:ln>
              <a:noFill/>
            </a:ln>
            <a:effectLst/>
          </c:spPr>
          <c:invertIfNegative val="0"/>
          <c:dLbls>
            <c:dLbl>
              <c:idx val="0"/>
              <c:layout>
                <c:manualLayout>
                  <c:x val="0.025"/>
                  <c:y val="-2.12188906800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77777777777778"/>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7777777777778"/>
                  <c:y val="-0.0092592592592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666666666667"/>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[郑州.xlsx]专题A!$A$238:$A$242</c:f>
              <c:strCache>
                <c:ptCount val="5"/>
                <c:pt idx="0">
                  <c:v>非常满意</c:v>
                </c:pt>
                <c:pt idx="1">
                  <c:v>满意</c:v>
                </c:pt>
                <c:pt idx="2">
                  <c:v>一般</c:v>
                </c:pt>
                <c:pt idx="3">
                  <c:v>不满意</c:v>
                </c:pt>
                <c:pt idx="4">
                  <c:v>非常不满意</c:v>
                </c:pt>
              </c:strCache>
            </c:strRef>
          </c:cat>
          <c:val>
            <c:numRef>
              <c:f>[郑州.xlsx]专题A!$E$238:$E$242</c:f>
              <c:numCache>
                <c:formatCode>0.00%</c:formatCode>
                <c:ptCount val="5"/>
                <c:pt idx="0">
                  <c:v>0.632</c:v>
                </c:pt>
                <c:pt idx="1">
                  <c:v>0.2165</c:v>
                </c:pt>
                <c:pt idx="2">
                  <c:v>0.1255</c:v>
                </c:pt>
                <c:pt idx="3">
                  <c:v>0.0173</c:v>
                </c:pt>
                <c:pt idx="4">
                  <c:v>0.0087</c:v>
                </c:pt>
              </c:numCache>
            </c:numRef>
          </c:val>
        </c:ser>
        <c:dLbls>
          <c:showLegendKey val="0"/>
          <c:showVal val="1"/>
          <c:showCatName val="0"/>
          <c:showSerName val="0"/>
          <c:showPercent val="0"/>
          <c:showBubbleSize val="0"/>
        </c:dLbls>
        <c:gapWidth val="219"/>
        <c:overlap val="-27"/>
        <c:axId val="468551200"/>
        <c:axId val="468547840"/>
        <c:extLst>
          <c:ext xmlns:c15="http://schemas.microsoft.com/office/drawing/2012/chart" uri="{02D57815-91ED-43cb-92C2-25804820EDAC}">
            <c15:filteredBarSeries>
              <c15:ser>
                <c:idx val="0"/>
                <c:order val="0"/>
                <c:tx>
                  <c:strRef>
                    <c:extLst>
                      <c:ext uri="{02D57815-91ED-43cb-92C2-25804820EDAC}">
                        <c15:formulaRef>
                          <c15:sqref>[郑州.xlsx]专题A!$B$237</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[郑州.xlsx]专题A!$A$238:$A$242</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{63,22,15,1,2}</c15:sqref>
                        </c15:formulaRef>
                      </c:ext>
                    </c:extLst>
                    <c:numCache>
                      <c:formatCode>General</c:formatCode>
                      <c:ptCount val="5"/>
                      <c:pt idx="0">
                        <c:v>63</c:v>
                      </c:pt>
                      <c:pt idx="1">
                        <c:v>22</c:v>
                      </c:pt>
                      <c:pt idx="2">
                        <c:v>15</c:v>
                      </c:pt>
                      <c:pt idx="3">
                        <c:v>1</c:v>
                      </c:pt>
                      <c:pt idx="4">
                        <c:v>2</c:v>
                      </c:pt>
                    </c:numCache>
                  </c:numRef>
                </c:val>
              </c15:ser>
            </c15:filteredBarSeries>
            <c15:filteredBarSeries>
              <c15:ser>
                <c:idx val="2"/>
                <c:order val="2"/>
                <c:tx>
                  <c:strRef>
                    <c:extLst>
                      <c:ext uri="{02D57815-91ED-43cb-92C2-25804820EDAC}">
                        <c15:formulaRef>
                          <c15:sqref>[郑州.xlsx]专题A!$D$237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[郑州.xlsx]专题A!$A$238:$A$242</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{146,50,29,4,2}</c15:sqref>
                        </c15:formulaRef>
                      </c:ext>
                    </c:extLst>
                    <c:numCache>
                      <c:formatCode>General</c:formatCode>
                      <c:ptCount val="5"/>
                      <c:pt idx="0">
                        <c:v>146</c:v>
                      </c:pt>
                      <c:pt idx="1">
                        <c:v>50</c:v>
                      </c:pt>
                      <c:pt idx="2">
                        <c:v>29</c:v>
                      </c:pt>
                      <c:pt idx="3">
                        <c:v>4</c:v>
                      </c:pt>
                      <c:pt idx="4">
                        <c:v>2</c:v>
                      </c:pt>
                    </c:numCache>
                  </c:numRef>
                </c:val>
              </c15:ser>
            </c15:filteredBarSeries>
          </c:ext>
        </c:extLst>
      </c:barChart>
      <c:catAx>
        <c:axId val="46855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547840"/>
        <c:crosses val="autoZero"/>
        <c:auto val="1"/>
        <c:lblAlgn val="ctr"/>
        <c:lblOffset val="100"/>
        <c:noMultiLvlLbl val="0"/>
      </c:catAx>
      <c:valAx>
        <c:axId val="468547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551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对公安机关网络安全案件受理工作不满意的原因</a:t>
            </a:r>
            <a:endParaRPr sz="1200"/>
          </a:p>
        </c:rich>
      </c:tx>
      <c:layout>
        <c:manualLayout>
          <c:xMode val="edge"/>
          <c:yMode val="edge"/>
          <c:x val="0.103333333333333"/>
          <c:y val="0.03125"/>
        </c:manualLayout>
      </c:layout>
      <c:overlay val="0"/>
      <c:spPr>
        <a:noFill/>
        <a:ln>
          <a:noFill/>
        </a:ln>
        <a:effectLst/>
      </c:spPr>
    </c:title>
    <c:autoTitleDeleted val="0"/>
    <c:plotArea>
      <c:layout/>
      <c:barChart>
        <c:barDir val="bar"/>
        <c:grouping val="clustered"/>
        <c:varyColors val="0"/>
        <c:ser>
          <c:idx val="1"/>
          <c:order val="1"/>
          <c:tx>
            <c:strRef>
              <c:f>[郑州.xlsx]专题A!$C$246</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[郑州.xlsx]专题A!$A$247:$A$253</c:f>
              <c:strCache>
                <c:ptCount val="7"/>
                <c:pt idx="0">
                  <c:v>处理不及时，效率低</c:v>
                </c:pt>
                <c:pt idx="1">
                  <c:v>其他</c:v>
                </c:pt>
                <c:pt idx="2">
                  <c:v>报警太麻烦</c:v>
                </c:pt>
                <c:pt idx="3">
                  <c:v>专业能力欠缺</c:v>
                </c:pt>
                <c:pt idx="4">
                  <c:v>没有结果</c:v>
                </c:pt>
                <c:pt idx="5">
                  <c:v>执法范围小，立案门槛高</c:v>
                </c:pt>
                <c:pt idx="6">
                  <c:v>打击力度不够，效果不明显</c:v>
                </c:pt>
              </c:strCache>
            </c:strRef>
          </c:cat>
          <c:val>
            <c:numRef>
              <c:f>[郑州.xlsx]专题A!$C$247:$C$253</c:f>
              <c:numCache>
                <c:formatCode>0%</c:formatCode>
                <c:ptCount val="7"/>
                <c:pt idx="0">
                  <c:v>0</c:v>
                </c:pt>
                <c:pt idx="1" c:formatCode="0.00%">
                  <c:v>0.0556</c:v>
                </c:pt>
                <c:pt idx="2" c:formatCode="0.00%">
                  <c:v>0.1111</c:v>
                </c:pt>
                <c:pt idx="3" c:formatCode="0.00%">
                  <c:v>0.1111</c:v>
                </c:pt>
                <c:pt idx="4" c:formatCode="0.00%">
                  <c:v>0.1667</c:v>
                </c:pt>
                <c:pt idx="5" c:formatCode="0.00%">
                  <c:v>0.1667</c:v>
                </c:pt>
                <c:pt idx="6" c:formatCode="0.00%">
                  <c:v>0.3889</c:v>
                </c:pt>
              </c:numCache>
            </c:numRef>
          </c:val>
        </c:ser>
        <c:ser>
          <c:idx val="3"/>
          <c:order val="3"/>
          <c:tx>
            <c:strRef>
              <c:f>[郑州.xlsx]专题A!$E$246</c:f>
              <c:strCache>
                <c:ptCount val="1"/>
                <c:pt idx="0">
                  <c:v>河南占比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[郑州.xlsx]专题A!$A$247:$A$253</c:f>
              <c:strCache>
                <c:ptCount val="7"/>
                <c:pt idx="0">
                  <c:v>处理不及时，效率低</c:v>
                </c:pt>
                <c:pt idx="1">
                  <c:v>其他</c:v>
                </c:pt>
                <c:pt idx="2">
                  <c:v>报警太麻烦</c:v>
                </c:pt>
                <c:pt idx="3">
                  <c:v>专业能力欠缺</c:v>
                </c:pt>
                <c:pt idx="4">
                  <c:v>没有结果</c:v>
                </c:pt>
                <c:pt idx="5">
                  <c:v>执法范围小，立案门槛高</c:v>
                </c:pt>
                <c:pt idx="6">
                  <c:v>打击力度不够，效果不明显</c:v>
                </c:pt>
              </c:strCache>
            </c:strRef>
          </c:cat>
          <c:val>
            <c:numRef>
              <c:f>[郑州.xlsx]专题A!$E$247:$E$253</c:f>
              <c:numCache>
                <c:formatCode>0.00%</c:formatCode>
                <c:ptCount val="7"/>
                <c:pt idx="0">
                  <c:v>0.0571</c:v>
                </c:pt>
                <c:pt idx="1">
                  <c:v>0.0571</c:v>
                </c:pt>
                <c:pt idx="2">
                  <c:v>0.1429</c:v>
                </c:pt>
                <c:pt idx="3">
                  <c:v>0.0571</c:v>
                </c:pt>
                <c:pt idx="4" c:formatCode="0%">
                  <c:v>0.2</c:v>
                </c:pt>
                <c:pt idx="5">
                  <c:v>0.1714</c:v>
                </c:pt>
                <c:pt idx="6">
                  <c:v>0.3143</c:v>
                </c:pt>
              </c:numCache>
            </c:numRef>
          </c:val>
        </c:ser>
        <c:dLbls>
          <c:showLegendKey val="0"/>
          <c:showVal val="1"/>
          <c:showCatName val="0"/>
          <c:showSerName val="0"/>
          <c:showPercent val="0"/>
          <c:showBubbleSize val="0"/>
        </c:dLbls>
        <c:gapWidth val="182"/>
        <c:axId val="858243581"/>
        <c:axId val="40456530"/>
        <c:extLst>
          <c:ext xmlns:c15="http://schemas.microsoft.com/office/drawing/2012/chart" uri="{02D57815-91ED-43cb-92C2-25804820EDAC}">
            <c15:filteredBarSeries>
              <c15:ser>
                <c:idx val="0"/>
                <c:order val="0"/>
                <c:tx>
                  <c:strRef>
                    <c:extLst>
                      <c:ext uri="{02D57815-91ED-43cb-92C2-25804820EDAC}">
                        <c15:formulaRef>
                          <c15:sqref>[郑州.xlsx]专题A!$B$246</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[郑州.xlsx]专题A!$A$247:$A$253</c15:sqref>
                        </c15:formulaRef>
                      </c:ext>
                    </c:extLst>
                    <c:strCache>
                      <c:ptCount val="7"/>
                      <c:pt idx="0">
                        <c:v>处理不及时，效率低</c:v>
                      </c:pt>
                      <c:pt idx="1">
                        <c:v>其他</c:v>
                      </c:pt>
                      <c:pt idx="2">
                        <c:v>报警太麻烦</c:v>
                      </c:pt>
                      <c:pt idx="3">
                        <c:v>专业能力欠缺</c:v>
                      </c:pt>
                      <c:pt idx="4">
                        <c:v>没有结果</c:v>
                      </c:pt>
                      <c:pt idx="5">
                        <c:v>执法范围小，立案门槛高</c:v>
                      </c:pt>
                      <c:pt idx="6">
                        <c:v>打击力度不够，效果不明显</c:v>
                      </c:pt>
                    </c:strCache>
                  </c:strRef>
                </c:cat>
                <c:val>
                  <c:numRef>
                    <c:extLst>
                      <c:ext uri="{02D57815-91ED-43cb-92C2-25804820EDAC}">
                        <c15:formulaRef>
                          <c15:sqref>{0,1,2,2,3,3,7}</c15:sqref>
                        </c15:formulaRef>
                      </c:ext>
                    </c:extLst>
                    <c:numCache>
                      <c:formatCode>General</c:formatCode>
                      <c:ptCount val="7"/>
                      <c:pt idx="0">
                        <c:v>0</c:v>
                      </c:pt>
                      <c:pt idx="1">
                        <c:v>1</c:v>
                      </c:pt>
                      <c:pt idx="2">
                        <c:v>2</c:v>
                      </c:pt>
                      <c:pt idx="3">
                        <c:v>2</c:v>
                      </c:pt>
                      <c:pt idx="4">
                        <c:v>3</c:v>
                      </c:pt>
                      <c:pt idx="5">
                        <c:v>3</c:v>
                      </c:pt>
                      <c:pt idx="6">
                        <c:v>7</c:v>
                      </c:pt>
                    </c:numCache>
                  </c:numRef>
                </c:val>
              </c15:ser>
            </c15:filteredBarSeries>
            <c15:filteredBarSeries>
              <c15:ser>
                <c:idx val="2"/>
                <c:order val="2"/>
                <c:tx>
                  <c:strRef>
                    <c:extLst>
                      <c:ext uri="{02D57815-91ED-43cb-92C2-25804820EDAC}">
                        <c15:formulaRef>
                          <c15:sqref>[郑州.xlsx]专题A!$D$246</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[郑州.xlsx]专题A!$A$247:$A$253</c15:sqref>
                        </c15:formulaRef>
                      </c:ext>
                    </c:extLst>
                    <c:strCache>
                      <c:ptCount val="7"/>
                      <c:pt idx="0">
                        <c:v>处理不及时，效率低</c:v>
                      </c:pt>
                      <c:pt idx="1">
                        <c:v>其他</c:v>
                      </c:pt>
                      <c:pt idx="2">
                        <c:v>报警太麻烦</c:v>
                      </c:pt>
                      <c:pt idx="3">
                        <c:v>专业能力欠缺</c:v>
                      </c:pt>
                      <c:pt idx="4">
                        <c:v>没有结果</c:v>
                      </c:pt>
                      <c:pt idx="5">
                        <c:v>执法范围小，立案门槛高</c:v>
                      </c:pt>
                      <c:pt idx="6">
                        <c:v>打击力度不够，效果不明显</c:v>
                      </c:pt>
                    </c:strCache>
                  </c:strRef>
                </c:cat>
                <c:val>
                  <c:numRef>
                    <c:extLst>
                      <c:ext uri="{02D57815-91ED-43cb-92C2-25804820EDAC}">
                        <c15:formulaRef>
                          <c15:sqref>{2,2,5,2,7,6,11}</c15:sqref>
                        </c15:formulaRef>
                      </c:ext>
                    </c:extLst>
                    <c:numCache>
                      <c:formatCode>General</c:formatCode>
                      <c:ptCount val="7"/>
                      <c:pt idx="0">
                        <c:v>2</c:v>
                      </c:pt>
                      <c:pt idx="1">
                        <c:v>2</c:v>
                      </c:pt>
                      <c:pt idx="2">
                        <c:v>5</c:v>
                      </c:pt>
                      <c:pt idx="3">
                        <c:v>2</c:v>
                      </c:pt>
                      <c:pt idx="4">
                        <c:v>7</c:v>
                      </c:pt>
                      <c:pt idx="5">
                        <c:v>6</c:v>
                      </c:pt>
                      <c:pt idx="6">
                        <c:v>11</c:v>
                      </c:pt>
                    </c:numCache>
                  </c:numRef>
                </c:val>
              </c15:ser>
            </c15:filteredBarSeries>
          </c:ext>
        </c:extLst>
      </c:barChart>
      <c:catAx>
        <c:axId val="8582435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56530"/>
        <c:crosses val="autoZero"/>
        <c:auto val="1"/>
        <c:lblAlgn val="ctr"/>
        <c:lblOffset val="100"/>
        <c:noMultiLvlLbl val="0"/>
      </c:catAx>
      <c:valAx>
        <c:axId val="4045653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24358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a:t>
            </a:r>
          </a:p>
        </c:rich>
      </c:tx>
      <c:layout/>
      <c:overlay val="0"/>
      <c:spPr>
        <a:noFill/>
        <a:ln>
          <a:noFill/>
        </a:ln>
        <a:effectLst/>
      </c:spPr>
    </c:title>
    <c:autoTitleDeleted val="0"/>
    <c:plotArea>
      <c:layout/>
      <c:barChart>
        <c:barDir val="col"/>
        <c:grouping val="clustered"/>
        <c:varyColors val="0"/>
        <c:ser>
          <c:idx val="1"/>
          <c:order val="1"/>
          <c:tx>
            <c:strRef>
              <c:f>[郑州.xlsx]专题A!$C$257</c:f>
              <c:strCache>
                <c:ptCount val="1"/>
                <c:pt idx="0">
                  <c:v>郑州占比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[郑州.xlsx]专题A!$A$258:$A$261</c:f>
              <c:strCache>
                <c:ptCount val="4"/>
                <c:pt idx="0">
                  <c:v>了解，单位已经实施</c:v>
                </c:pt>
                <c:pt idx="1">
                  <c:v>了解，还没有实施</c:v>
                </c:pt>
                <c:pt idx="2">
                  <c:v>知道，不清楚具体要求</c:v>
                </c:pt>
                <c:pt idx="3">
                  <c:v>不了解</c:v>
                </c:pt>
              </c:strCache>
            </c:strRef>
          </c:cat>
          <c:val>
            <c:numRef>
              <c:f>[郑州.xlsx]专题A!$C$258:$C$261</c:f>
              <c:numCache>
                <c:formatCode>0.00%</c:formatCode>
                <c:ptCount val="4"/>
                <c:pt idx="0">
                  <c:v>0.4892</c:v>
                </c:pt>
                <c:pt idx="1">
                  <c:v>0.1459</c:v>
                </c:pt>
                <c:pt idx="2">
                  <c:v>0.1799</c:v>
                </c:pt>
                <c:pt idx="3">
                  <c:v>0.185</c:v>
                </c:pt>
              </c:numCache>
            </c:numRef>
          </c:val>
        </c:ser>
        <c:ser>
          <c:idx val="3"/>
          <c:order val="3"/>
          <c:tx>
            <c:strRef>
              <c:f>[郑州.xlsx]专题A!$E$257</c:f>
              <c:strCache>
                <c:ptCount val="1"/>
                <c:pt idx="0">
                  <c:v>河南占比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[郑州.xlsx]专题A!$A$258:$A$261</c:f>
              <c:strCache>
                <c:ptCount val="4"/>
                <c:pt idx="0">
                  <c:v>了解，单位已经实施</c:v>
                </c:pt>
                <c:pt idx="1">
                  <c:v>了解，还没有实施</c:v>
                </c:pt>
                <c:pt idx="2">
                  <c:v>知道，不清楚具体要求</c:v>
                </c:pt>
                <c:pt idx="3">
                  <c:v>不了解</c:v>
                </c:pt>
              </c:strCache>
            </c:strRef>
          </c:cat>
          <c:val>
            <c:numRef>
              <c:f>[郑州.xlsx]专题A!$E$258:$E$261</c:f>
              <c:numCache>
                <c:formatCode>0.00%</c:formatCode>
                <c:ptCount val="4"/>
                <c:pt idx="0">
                  <c:v>0.4752</c:v>
                </c:pt>
                <c:pt idx="1" c:formatCode="0%">
                  <c:v>0.14</c:v>
                </c:pt>
                <c:pt idx="2">
                  <c:v>0.1817</c:v>
                </c:pt>
                <c:pt idx="3">
                  <c:v>0.203</c:v>
                </c:pt>
              </c:numCache>
            </c:numRef>
          </c:val>
        </c:ser>
        <c:dLbls>
          <c:showLegendKey val="0"/>
          <c:showVal val="1"/>
          <c:showCatName val="0"/>
          <c:showSerName val="0"/>
          <c:showPercent val="0"/>
          <c:showBubbleSize val="0"/>
        </c:dLbls>
        <c:gapWidth val="219"/>
        <c:overlap val="-27"/>
        <c:axId val="442820073"/>
        <c:axId val="530787296"/>
        <c:extLst>
          <c:ext xmlns:c15="http://schemas.microsoft.com/office/drawing/2012/chart" uri="{02D57815-91ED-43cb-92C2-25804820EDAC}">
            <c15:filteredBarSeries>
              <c15:ser>
                <c:idx val="0"/>
                <c:order val="0"/>
                <c:tx>
                  <c:strRef>
                    <c:extLst>
                      <c:ext uri="{02D57815-91ED-43cb-92C2-25804820EDAC}">
                        <c15:formulaRef>
                          <c15:sqref>[郑州.xlsx]专题A!$B$257</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[郑州.xlsx]专题A!$A$258:$A$261</c15:sqref>
                        </c15:formulaRef>
                      </c:ext>
                    </c:extLst>
                    <c:strCache>
                      <c:ptCount val="4"/>
                      <c:pt idx="0">
                        <c:v>了解，单位已经实施</c:v>
                      </c:pt>
                      <c:pt idx="1">
                        <c:v>了解，还没有实施</c:v>
                      </c:pt>
                      <c:pt idx="2">
                        <c:v>知道，不清楚具体要求</c:v>
                      </c:pt>
                      <c:pt idx="3">
                        <c:v>不了解</c:v>
                      </c:pt>
                    </c:strCache>
                  </c:strRef>
                </c:cat>
                <c:val>
                  <c:numRef>
                    <c:extLst>
                      <c:ext uri="{02D57815-91ED-43cb-92C2-25804820EDAC}">
                        <c15:formulaRef>
                          <c15:sqref>{476,142,175,180}</c15:sqref>
                        </c15:formulaRef>
                      </c:ext>
                    </c:extLst>
                    <c:numCache>
                      <c:formatCode>General</c:formatCode>
                      <c:ptCount val="4"/>
                      <c:pt idx="0">
                        <c:v>476</c:v>
                      </c:pt>
                      <c:pt idx="1">
                        <c:v>142</c:v>
                      </c:pt>
                      <c:pt idx="2">
                        <c:v>175</c:v>
                      </c:pt>
                      <c:pt idx="3">
                        <c:v>180</c:v>
                      </c:pt>
                    </c:numCache>
                  </c:numRef>
                </c:val>
              </c15:ser>
            </c15:filteredBarSeries>
            <c15:filteredBarSeries>
              <c15:ser>
                <c:idx val="2"/>
                <c:order val="2"/>
                <c:tx>
                  <c:strRef>
                    <c:extLst>
                      <c:ext uri="{02D57815-91ED-43cb-92C2-25804820EDAC}">
                        <c15:formulaRef>
                          <c15:sqref>[郑州.xlsx]专题A!$D$257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[郑州.xlsx]专题A!$A$258:$A$261</c15:sqref>
                        </c15:formulaRef>
                      </c:ext>
                    </c:extLst>
                    <c:strCache>
                      <c:ptCount val="4"/>
                      <c:pt idx="0">
                        <c:v>了解，单位已经实施</c:v>
                      </c:pt>
                      <c:pt idx="1">
                        <c:v>了解，还没有实施</c:v>
                      </c:pt>
                      <c:pt idx="2">
                        <c:v>知道，不清楚具体要求</c:v>
                      </c:pt>
                      <c:pt idx="3">
                        <c:v>不了解</c:v>
                      </c:pt>
                    </c:strCache>
                  </c:strRef>
                </c:cat>
                <c:val>
                  <c:numRef>
                    <c:extLst>
                      <c:ext uri="{02D57815-91ED-43cb-92C2-25804820EDAC}">
                        <c15:formulaRef>
                          <c15:sqref>{1093,322,418,467}</c15:sqref>
                        </c15:formulaRef>
                      </c:ext>
                    </c:extLst>
                    <c:numCache>
                      <c:formatCode>General</c:formatCode>
                      <c:ptCount val="4"/>
                      <c:pt idx="0">
                        <c:v>1093</c:v>
                      </c:pt>
                      <c:pt idx="1">
                        <c:v>322</c:v>
                      </c:pt>
                      <c:pt idx="2">
                        <c:v>418</c:v>
                      </c:pt>
                      <c:pt idx="3">
                        <c:v>467</c:v>
                      </c:pt>
                    </c:numCache>
                  </c:numRef>
                </c:val>
              </c15:ser>
            </c15:filteredBarSeries>
          </c:ext>
        </c:extLst>
      </c:barChart>
      <c:catAx>
        <c:axId val="4428200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787296"/>
        <c:crosses val="autoZero"/>
        <c:auto val="1"/>
        <c:lblAlgn val="ctr"/>
        <c:lblOffset val="100"/>
        <c:noMultiLvlLbl val="0"/>
      </c:catAx>
      <c:valAx>
        <c:axId val="530787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8200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cap="all" baseline="0">
                <a:solidFill>
                  <a:schemeClr val="tx1">
                    <a:lumMod val="65000"/>
                    <a:lumOff val="35000"/>
                  </a:schemeClr>
                </a:solidFill>
                <a:latin typeface="+mn-lt"/>
                <a:ea typeface="+mn-ea"/>
                <a:cs typeface="+mn-cs"/>
              </a:defRPr>
            </a:pPr>
            <a:r>
              <a:rPr lang="zh-CN" altLang="en-US" sz="1400" b="0"/>
              <a:t>所在单位是否定期进行网络安全检查</a:t>
            </a:r>
            <a:endParaRPr lang="zh-CN" altLang="en-US" sz="1400" b="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是, 70.77%,</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否, 9.78%</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chemeClr val="accent1"/>
                        </a:solidFill>
                        <a:latin typeface="+mn-lt"/>
                        <a:ea typeface="+mn-ea"/>
                        <a:cs typeface="+mn-cs"/>
                      </a:defRPr>
                    </a:pPr>
                    <a:r>
                      <a:t>不了解, 19.46%, </a:t>
                    </a: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[郑州.xlsx]专题A!$A$266:$A$268</c:f>
              <c:strCache>
                <c:ptCount val="3"/>
                <c:pt idx="0">
                  <c:v>是</c:v>
                </c:pt>
                <c:pt idx="1">
                  <c:v>否</c:v>
                </c:pt>
                <c:pt idx="2">
                  <c:v>不了解</c:v>
                </c:pt>
              </c:strCache>
            </c:strRef>
          </c:cat>
          <c:val>
            <c:numRef>
              <c:f>[郑州.xlsx]专题A!$B$266:$B$268</c:f>
              <c:numCache>
                <c:formatCode>0.00%</c:formatCode>
                <c:ptCount val="3"/>
                <c:pt idx="0">
                  <c:v>0.7077</c:v>
                </c:pt>
                <c:pt idx="1">
                  <c:v>0.0978</c:v>
                </c:pt>
                <c:pt idx="2">
                  <c:v>0.1946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 </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[郑州.xlsx]专题B!$C$8</c:f>
              <c:strCache>
                <c:ptCount val="1"/>
                <c:pt idx="0">
                  <c:v>郑州占比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[郑州.xlsx]专题B!$A$9:$A$13</c:f>
              <c:strCache>
                <c:ptCount val="5"/>
                <c:pt idx="0">
                  <c:v>非常好</c:v>
                </c:pt>
                <c:pt idx="1">
                  <c:v>好</c:v>
                </c:pt>
                <c:pt idx="2">
                  <c:v>一般</c:v>
                </c:pt>
                <c:pt idx="3">
                  <c:v>不好</c:v>
                </c:pt>
                <c:pt idx="4">
                  <c:v>非常不好</c:v>
                </c:pt>
              </c:strCache>
            </c:strRef>
          </c:cat>
          <c:val>
            <c:numRef>
              <c:f>[郑州.xlsx]专题B!$C$9:$C$13</c:f>
              <c:numCache>
                <c:formatCode>0.00%</c:formatCode>
                <c:ptCount val="5"/>
                <c:pt idx="0">
                  <c:v>0.2539</c:v>
                </c:pt>
                <c:pt idx="1">
                  <c:v>0.3789</c:v>
                </c:pt>
                <c:pt idx="2">
                  <c:v>0.3346</c:v>
                </c:pt>
                <c:pt idx="3">
                  <c:v>0.0247</c:v>
                </c:pt>
                <c:pt idx="4">
                  <c:v>0.0078</c:v>
                </c:pt>
              </c:numCache>
            </c:numRef>
          </c:val>
        </c:ser>
        <c:ser>
          <c:idx val="3"/>
          <c:order val="3"/>
          <c:tx>
            <c:strRef>
              <c:f>[郑州.xlsx]专题B!$E$8</c:f>
              <c:strCache>
                <c:ptCount val="1"/>
                <c:pt idx="0">
                  <c:v>河南占比</c:v>
                </c:pt>
              </c:strCache>
            </c:strRef>
          </c:tx>
          <c:spPr>
            <a:solidFill>
              <a:schemeClr val="accent1"/>
            </a:solidFill>
            <a:ln>
              <a:noFill/>
            </a:ln>
            <a:effectLst/>
          </c:spPr>
          <c:invertIfNegative val="0"/>
          <c:dLbls>
            <c:dLbl>
              <c:idx val="2"/>
              <c:layout>
                <c:manualLayout>
                  <c:x val="0.01640749357169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32594587976"/>
                  <c:y val="0.00356394129979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25296926656055"/>
                  <c:y val="-0.00356394129979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[郑州.xlsx]专题B!$A$9:$A$13</c:f>
              <c:strCache>
                <c:ptCount val="5"/>
                <c:pt idx="0">
                  <c:v>非常好</c:v>
                </c:pt>
                <c:pt idx="1">
                  <c:v>好</c:v>
                </c:pt>
                <c:pt idx="2">
                  <c:v>一般</c:v>
                </c:pt>
                <c:pt idx="3">
                  <c:v>不好</c:v>
                </c:pt>
                <c:pt idx="4">
                  <c:v>非常不好</c:v>
                </c:pt>
              </c:strCache>
            </c:strRef>
          </c:cat>
          <c:val>
            <c:numRef>
              <c:f>[郑州.xlsx]专题B!$E$9:$E$13</c:f>
              <c:numCache>
                <c:formatCode>0.00%</c:formatCode>
                <c:ptCount val="5"/>
                <c:pt idx="0">
                  <c:v>0.2832</c:v>
                </c:pt>
                <c:pt idx="1">
                  <c:v>0.3582</c:v>
                </c:pt>
                <c:pt idx="2">
                  <c:v>0.3291</c:v>
                </c:pt>
                <c:pt idx="3">
                  <c:v>0.0212</c:v>
                </c:pt>
                <c:pt idx="4">
                  <c:v>0.0084</c:v>
                </c:pt>
              </c:numCache>
            </c:numRef>
          </c:val>
        </c:ser>
        <c:dLbls>
          <c:showLegendKey val="0"/>
          <c:showVal val="1"/>
          <c:showCatName val="0"/>
          <c:showSerName val="0"/>
          <c:showPercent val="0"/>
          <c:showBubbleSize val="0"/>
        </c:dLbls>
        <c:gapWidth val="219"/>
        <c:overlap val="-27"/>
        <c:axId val="382202016"/>
        <c:axId val="382199776"/>
        <c:extLst>
          <c:ext xmlns:c15="http://schemas.microsoft.com/office/drawing/2012/chart" uri="{02D57815-91ED-43cb-92C2-25804820EDAC}">
            <c15:filteredBarSeries>
              <c15:ser>
                <c:idx val="0"/>
                <c:order val="0"/>
                <c:tx>
                  <c:strRef>
                    <c:extLst>
                      <c:ext uri="{02D57815-91ED-43cb-92C2-25804820EDAC}">
                        <c15:formulaRef>
                          <c15:sqref>[郑州.xlsx]专题B!$B$8</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[郑州.xlsx]专题B!$A$9:$A$13</c15:sqref>
                        </c15:formulaRef>
                      </c:ext>
                    </c:extLst>
                    <c:strCache>
                      <c:ptCount val="5"/>
                      <c:pt idx="0">
                        <c:v>非常好</c:v>
                      </c:pt>
                      <c:pt idx="1">
                        <c:v>好</c:v>
                      </c:pt>
                      <c:pt idx="2">
                        <c:v>一般</c:v>
                      </c:pt>
                      <c:pt idx="3">
                        <c:v>不好</c:v>
                      </c:pt>
                      <c:pt idx="4">
                        <c:v>非常不好</c:v>
                      </c:pt>
                    </c:strCache>
                  </c:strRef>
                </c:cat>
                <c:val>
                  <c:numRef>
                    <c:extLst>
                      <c:ext uri="{02D57815-91ED-43cb-92C2-25804820EDAC}">
                        <c15:formulaRef>
                          <c15:sqref>{195,291,257,19,6}</c15:sqref>
                        </c15:formulaRef>
                      </c:ext>
                    </c:extLst>
                    <c:numCache>
                      <c:formatCode>General</c:formatCode>
                      <c:ptCount val="5"/>
                      <c:pt idx="0">
                        <c:v>195</c:v>
                      </c:pt>
                      <c:pt idx="1">
                        <c:v>291</c:v>
                      </c:pt>
                      <c:pt idx="2">
                        <c:v>257</c:v>
                      </c:pt>
                      <c:pt idx="3">
                        <c:v>19</c:v>
                      </c:pt>
                      <c:pt idx="4">
                        <c:v>6</c:v>
                      </c:pt>
                    </c:numCache>
                  </c:numRef>
                </c:val>
              </c15:ser>
            </c15:filteredBarSeries>
            <c15:filteredBarSeries>
              <c15:ser>
                <c:idx val="2"/>
                <c:order val="2"/>
                <c:tx>
                  <c:strRef>
                    <c:extLst>
                      <c:ext uri="{02D57815-91ED-43cb-92C2-25804820EDAC}">
                        <c15:formulaRef>
                          <c15:sqref>[郑州.xlsx]专题B!$D$8</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[郑州.xlsx]专题B!$A$9:$A$13</c15:sqref>
                        </c15:formulaRef>
                      </c:ext>
                    </c:extLst>
                    <c:strCache>
                      <c:ptCount val="5"/>
                      <c:pt idx="0">
                        <c:v>非常好</c:v>
                      </c:pt>
                      <c:pt idx="1">
                        <c:v>好</c:v>
                      </c:pt>
                      <c:pt idx="2">
                        <c:v>一般</c:v>
                      </c:pt>
                      <c:pt idx="3">
                        <c:v>不好</c:v>
                      </c:pt>
                      <c:pt idx="4">
                        <c:v>非常不好</c:v>
                      </c:pt>
                    </c:strCache>
                  </c:strRef>
                </c:cat>
                <c:val>
                  <c:numRef>
                    <c:extLst>
                      <c:ext uri="{02D57815-91ED-43cb-92C2-25804820EDAC}">
                        <c15:formulaRef>
                          <c15:sqref>{574,726,667,43,17}</c15:sqref>
                        </c15:formulaRef>
                      </c:ext>
                    </c:extLst>
                    <c:numCache>
                      <c:formatCode>General</c:formatCode>
                      <c:ptCount val="5"/>
                      <c:pt idx="0">
                        <c:v>574</c:v>
                      </c:pt>
                      <c:pt idx="1">
                        <c:v>726</c:v>
                      </c:pt>
                      <c:pt idx="2">
                        <c:v>667</c:v>
                      </c:pt>
                      <c:pt idx="3">
                        <c:v>43</c:v>
                      </c:pt>
                      <c:pt idx="4">
                        <c:v>17</c:v>
                      </c:pt>
                    </c:numCache>
                  </c:numRef>
                </c:val>
              </c15:ser>
            </c15:filteredBarSeries>
          </c:ext>
        </c:extLst>
      </c:barChart>
      <c:catAx>
        <c:axId val="38220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199776"/>
        <c:crosses val="autoZero"/>
        <c:auto val="1"/>
        <c:lblAlgn val="ctr"/>
        <c:lblOffset val="100"/>
        <c:noMultiLvlLbl val="0"/>
      </c:catAx>
      <c:valAx>
        <c:axId val="382199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02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当前网络安全行业市场的需求变化的评价</a:t>
            </a:r>
            <a:endParaRPr lang="zh-CN" altLang="en-US"/>
          </a:p>
        </c:rich>
      </c:tx>
      <c:layout/>
      <c:overlay val="0"/>
      <c:spPr>
        <a:noFill/>
        <a:ln>
          <a:noFill/>
        </a:ln>
        <a:effectLst/>
      </c:spPr>
    </c:title>
    <c:autoTitleDeleted val="0"/>
    <c:plotArea>
      <c:layout>
        <c:manualLayout>
          <c:layoutTarget val="inner"/>
          <c:xMode val="edge"/>
          <c:yMode val="edge"/>
          <c:x val="0.100992836496167"/>
          <c:y val="0.160733549083064"/>
          <c:w val="0.871358552218173"/>
          <c:h val="0.633959007551241"/>
        </c:manualLayout>
      </c:layout>
      <c:barChart>
        <c:barDir val="col"/>
        <c:grouping val="clustered"/>
        <c:varyColors val="0"/>
        <c:ser>
          <c:idx val="1"/>
          <c:order val="1"/>
          <c:tx>
            <c:strRef>
              <c:f>[郑州.xlsx]专题B!$C$17</c:f>
              <c:strCache>
                <c:ptCount val="1"/>
                <c:pt idx="0">
                  <c:v>郑州占比</c:v>
                </c:pt>
              </c:strCache>
            </c:strRef>
          </c:tx>
          <c:spPr>
            <a:solidFill>
              <a:schemeClr val="accent2"/>
            </a:solidFill>
            <a:ln>
              <a:noFill/>
            </a:ln>
            <a:effectLst/>
          </c:spPr>
          <c:invertIfNegative val="0"/>
          <c:dLbls>
            <c:dLbl>
              <c:idx val="1"/>
              <c:layout>
                <c:manualLayout>
                  <c:x val="-0.0251351011687822"/>
                  <c:y val="0.0107874865156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[郑州.xlsx]专题B!$A$18:$A$22</c:f>
              <c:strCache>
                <c:ptCount val="5"/>
                <c:pt idx="0">
                  <c:v>明显上涨</c:v>
                </c:pt>
                <c:pt idx="1">
                  <c:v>略有上涨</c:v>
                </c:pt>
                <c:pt idx="2">
                  <c:v>没有变化</c:v>
                </c:pt>
                <c:pt idx="3">
                  <c:v>略有下降</c:v>
                </c:pt>
                <c:pt idx="4">
                  <c:v>明显下降</c:v>
                </c:pt>
              </c:strCache>
            </c:strRef>
          </c:cat>
          <c:val>
            <c:numRef>
              <c:f>[郑州.xlsx]专题B!$C$18:$C$22</c:f>
              <c:numCache>
                <c:formatCode>0.00%</c:formatCode>
                <c:ptCount val="5"/>
                <c:pt idx="0">
                  <c:v>0.551</c:v>
                </c:pt>
                <c:pt idx="1">
                  <c:v>0.3429</c:v>
                </c:pt>
                <c:pt idx="2">
                  <c:v>0.072</c:v>
                </c:pt>
                <c:pt idx="3">
                  <c:v>0.0236</c:v>
                </c:pt>
                <c:pt idx="4">
                  <c:v>0.0105</c:v>
                </c:pt>
              </c:numCache>
            </c:numRef>
          </c:val>
        </c:ser>
        <c:ser>
          <c:idx val="3"/>
          <c:order val="3"/>
          <c:tx>
            <c:strRef>
              <c:f>[郑州.xlsx]专题B!$E$17</c:f>
              <c:strCache>
                <c:ptCount val="1"/>
                <c:pt idx="0">
                  <c:v>河南占比</c:v>
                </c:pt>
              </c:strCache>
            </c:strRef>
          </c:tx>
          <c:spPr>
            <a:solidFill>
              <a:schemeClr val="accent1"/>
            </a:solidFill>
            <a:ln>
              <a:noFill/>
            </a:ln>
            <a:effectLst/>
          </c:spPr>
          <c:invertIfNegative val="0"/>
          <c:dLbls>
            <c:dLbl>
              <c:idx val="0"/>
              <c:layout>
                <c:manualLayout>
                  <c:x val="0.0125675505843911"/>
                  <c:y val="0.01790722761596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4202588915420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28377529219555"/>
                  <c:y val="0.00345199568500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675505843911"/>
                  <c:y val="-0.00366774541531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2945833856981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[郑州.xlsx]专题B!$A$18:$A$22</c:f>
              <c:strCache>
                <c:ptCount val="5"/>
                <c:pt idx="0">
                  <c:v>明显上涨</c:v>
                </c:pt>
                <c:pt idx="1">
                  <c:v>略有上涨</c:v>
                </c:pt>
                <c:pt idx="2">
                  <c:v>没有变化</c:v>
                </c:pt>
                <c:pt idx="3">
                  <c:v>略有下降</c:v>
                </c:pt>
                <c:pt idx="4">
                  <c:v>明显下降</c:v>
                </c:pt>
              </c:strCache>
            </c:strRef>
          </c:cat>
          <c:val>
            <c:numRef>
              <c:f>[郑州.xlsx]专题B!$E$18:$E$22</c:f>
              <c:numCache>
                <c:formatCode>0.00%</c:formatCode>
                <c:ptCount val="5"/>
                <c:pt idx="0">
                  <c:v>0.5439</c:v>
                </c:pt>
                <c:pt idx="1">
                  <c:v>0.347</c:v>
                </c:pt>
                <c:pt idx="2">
                  <c:v>0.0854</c:v>
                </c:pt>
                <c:pt idx="3">
                  <c:v>0.0173</c:v>
                </c:pt>
                <c:pt idx="4">
                  <c:v>0.0064</c:v>
                </c:pt>
              </c:numCache>
            </c:numRef>
          </c:val>
        </c:ser>
        <c:dLbls>
          <c:showLegendKey val="0"/>
          <c:showVal val="1"/>
          <c:showCatName val="0"/>
          <c:showSerName val="0"/>
          <c:showPercent val="0"/>
          <c:showBubbleSize val="0"/>
        </c:dLbls>
        <c:gapWidth val="219"/>
        <c:overlap val="-27"/>
        <c:axId val="387884752"/>
        <c:axId val="387886992"/>
        <c:extLst>
          <c:ext xmlns:c15="http://schemas.microsoft.com/office/drawing/2012/chart" uri="{02D57815-91ED-43cb-92C2-25804820EDAC}">
            <c15:filteredBarSeries>
              <c15:ser>
                <c:idx val="0"/>
                <c:order val="0"/>
                <c:tx>
                  <c:strRef>
                    <c:extLst>
                      <c:ext uri="{02D57815-91ED-43cb-92C2-25804820EDAC}">
                        <c15:formulaRef>
                          <c15:sqref>[郑州.xlsx]专题B!$B$17</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[郑州.xlsx]专题B!$A$18:$A$22</c15:sqref>
                        </c15:formulaRef>
                      </c:ext>
                    </c:extLst>
                    <c:strCache>
                      <c:ptCount val="5"/>
                      <c:pt idx="0">
                        <c:v>明显上涨</c:v>
                      </c:pt>
                      <c:pt idx="1">
                        <c:v>略有上涨</c:v>
                      </c:pt>
                      <c:pt idx="2">
                        <c:v>没有变化</c:v>
                      </c:pt>
                      <c:pt idx="3">
                        <c:v>略有下降</c:v>
                      </c:pt>
                      <c:pt idx="4">
                        <c:v>明显下降</c:v>
                      </c:pt>
                    </c:strCache>
                  </c:strRef>
                </c:cat>
                <c:val>
                  <c:numRef>
                    <c:extLst>
                      <c:ext uri="{02D57815-91ED-43cb-92C2-25804820EDAC}">
                        <c15:formulaRef>
                          <c15:sqref>{421,262,55,18,8}</c15:sqref>
                        </c15:formulaRef>
                      </c:ext>
                    </c:extLst>
                    <c:numCache>
                      <c:formatCode>General</c:formatCode>
                      <c:ptCount val="5"/>
                      <c:pt idx="0">
                        <c:v>421</c:v>
                      </c:pt>
                      <c:pt idx="1">
                        <c:v>262</c:v>
                      </c:pt>
                      <c:pt idx="2">
                        <c:v>55</c:v>
                      </c:pt>
                      <c:pt idx="3">
                        <c:v>18</c:v>
                      </c:pt>
                      <c:pt idx="4">
                        <c:v>8</c:v>
                      </c:pt>
                    </c:numCache>
                  </c:numRef>
                </c:val>
              </c15:ser>
            </c15:filteredBarSeries>
            <c15:filteredBarSeries>
              <c15:ser>
                <c:idx val="2"/>
                <c:order val="2"/>
                <c:tx>
                  <c:strRef>
                    <c:extLst>
                      <c:ext uri="{02D57815-91ED-43cb-92C2-25804820EDAC}">
                        <c15:formulaRef>
                          <c15:sqref>[郑州.xlsx]专题B!$D$17</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[郑州.xlsx]专题B!$A$18:$A$22</c15:sqref>
                        </c15:formulaRef>
                      </c:ext>
                    </c:extLst>
                    <c:strCache>
                      <c:ptCount val="5"/>
                      <c:pt idx="0">
                        <c:v>明显上涨</c:v>
                      </c:pt>
                      <c:pt idx="1">
                        <c:v>略有上涨</c:v>
                      </c:pt>
                      <c:pt idx="2">
                        <c:v>没有变化</c:v>
                      </c:pt>
                      <c:pt idx="3">
                        <c:v>略有下降</c:v>
                      </c:pt>
                      <c:pt idx="4">
                        <c:v>明显下降</c:v>
                      </c:pt>
                    </c:strCache>
                  </c:strRef>
                </c:cat>
                <c:val>
                  <c:numRef>
                    <c:extLst>
                      <c:ext uri="{02D57815-91ED-43cb-92C2-25804820EDAC}">
                        <c15:formulaRef>
                          <c15:sqref>{1102,703,173,35,13}</c15:sqref>
                        </c15:formulaRef>
                      </c:ext>
                    </c:extLst>
                    <c:numCache>
                      <c:formatCode>General</c:formatCode>
                      <c:ptCount val="5"/>
                      <c:pt idx="0">
                        <c:v>1102</c:v>
                      </c:pt>
                      <c:pt idx="1">
                        <c:v>703</c:v>
                      </c:pt>
                      <c:pt idx="2">
                        <c:v>173</c:v>
                      </c:pt>
                      <c:pt idx="3">
                        <c:v>35</c:v>
                      </c:pt>
                      <c:pt idx="4">
                        <c:v>13</c:v>
                      </c:pt>
                    </c:numCache>
                  </c:numRef>
                </c:val>
              </c15:ser>
            </c15:filteredBarSeries>
          </c:ext>
        </c:extLst>
      </c:barChart>
      <c:catAx>
        <c:axId val="38788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886992"/>
        <c:crosses val="autoZero"/>
        <c:auto val="1"/>
        <c:lblAlgn val="ctr"/>
        <c:lblOffset val="100"/>
        <c:noMultiLvlLbl val="0"/>
      </c:catAx>
      <c:valAx>
        <c:axId val="387886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884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目前网络安全行业提供的网络安全保障水平评价</a:t>
            </a:r>
            <a:endParaRPr lang="zh-CN" altLang="en-US"/>
          </a:p>
        </c:rich>
      </c:tx>
      <c:layout/>
      <c:overlay val="0"/>
      <c:spPr>
        <a:noFill/>
        <a:ln>
          <a:noFill/>
        </a:ln>
        <a:effectLst/>
      </c:spPr>
    </c:title>
    <c:autoTitleDeleted val="0"/>
    <c:plotArea>
      <c:layout>
        <c:manualLayout>
          <c:layoutTarget val="inner"/>
          <c:xMode val="edge"/>
          <c:yMode val="edge"/>
          <c:x val="0.109487733376855"/>
          <c:y val="0.154812563323202"/>
          <c:w val="0.870958342443101"/>
          <c:h val="0.655569011320393"/>
        </c:manualLayout>
      </c:layout>
      <c:barChart>
        <c:barDir val="col"/>
        <c:grouping val="clustered"/>
        <c:varyColors val="0"/>
        <c:ser>
          <c:idx val="1"/>
          <c:order val="1"/>
          <c:tx>
            <c:strRef>
              <c:f>[郑州.xlsx]专题B!$C$26</c:f>
              <c:strCache>
                <c:ptCount val="1"/>
                <c:pt idx="0">
                  <c:v>郑州占比</c:v>
                </c:pt>
              </c:strCache>
            </c:strRef>
          </c:tx>
          <c:spPr>
            <a:solidFill>
              <a:schemeClr val="accent2"/>
            </a:solidFill>
            <a:ln>
              <a:noFill/>
            </a:ln>
            <a:effectLst/>
          </c:spPr>
          <c:invertIfNegative val="0"/>
          <c:dLbls>
            <c:dLbl>
              <c:idx val="0"/>
              <c:layout>
                <c:manualLayout>
                  <c:x val="-0.00555555555555558"/>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[郑州.xlsx]专题B!$A$27:$A$31</c:f>
              <c:strCache>
                <c:ptCount val="5"/>
                <c:pt idx="0">
                  <c:v>非常高</c:v>
                </c:pt>
                <c:pt idx="1">
                  <c:v>比较高</c:v>
                </c:pt>
                <c:pt idx="2">
                  <c:v>中等</c:v>
                </c:pt>
                <c:pt idx="3">
                  <c:v>比较低</c:v>
                </c:pt>
                <c:pt idx="4">
                  <c:v>非常低</c:v>
                </c:pt>
              </c:strCache>
            </c:strRef>
          </c:cat>
          <c:val>
            <c:numRef>
              <c:f>[郑州.xlsx]专题B!$C$27:$C$31</c:f>
              <c:numCache>
                <c:formatCode>0.00%</c:formatCode>
                <c:ptCount val="5"/>
                <c:pt idx="0">
                  <c:v>0.2029</c:v>
                </c:pt>
                <c:pt idx="1">
                  <c:v>0.4175</c:v>
                </c:pt>
                <c:pt idx="2">
                  <c:v>0.3246</c:v>
                </c:pt>
                <c:pt idx="3">
                  <c:v>0.0432</c:v>
                </c:pt>
                <c:pt idx="4">
                  <c:v>0.0118</c:v>
                </c:pt>
              </c:numCache>
            </c:numRef>
          </c:val>
        </c:ser>
        <c:ser>
          <c:idx val="3"/>
          <c:order val="3"/>
          <c:tx>
            <c:strRef>
              <c:f>[郑州.xlsx]专题B!$E$26</c:f>
              <c:strCache>
                <c:ptCount val="1"/>
                <c:pt idx="0">
                  <c:v>河南占比</c:v>
                </c:pt>
              </c:strCache>
            </c:strRef>
          </c:tx>
          <c:spPr>
            <a:solidFill>
              <a:schemeClr val="accent1"/>
            </a:solidFill>
            <a:ln>
              <a:noFill/>
            </a:ln>
            <a:effectLst/>
          </c:spPr>
          <c:invertIfNegative val="0"/>
          <c:dLbls>
            <c:dLbl>
              <c:idx val="0"/>
              <c:layout>
                <c:manualLayout>
                  <c:x val="0.01944444444444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22222222222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222222222222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018518518518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[郑州.xlsx]专题B!$A$27:$A$31</c:f>
              <c:strCache>
                <c:ptCount val="5"/>
                <c:pt idx="0">
                  <c:v>非常高</c:v>
                </c:pt>
                <c:pt idx="1">
                  <c:v>比较高</c:v>
                </c:pt>
                <c:pt idx="2">
                  <c:v>中等</c:v>
                </c:pt>
                <c:pt idx="3">
                  <c:v>比较低</c:v>
                </c:pt>
                <c:pt idx="4">
                  <c:v>非常低</c:v>
                </c:pt>
              </c:strCache>
            </c:strRef>
          </c:cat>
          <c:val>
            <c:numRef>
              <c:f>[郑州.xlsx]专题B!$E$27:$E$31</c:f>
              <c:numCache>
                <c:formatCode>0.00%</c:formatCode>
                <c:ptCount val="5"/>
                <c:pt idx="0">
                  <c:v>0.2281</c:v>
                </c:pt>
                <c:pt idx="1">
                  <c:v>0.4082</c:v>
                </c:pt>
                <c:pt idx="2">
                  <c:v>0.3068</c:v>
                </c:pt>
                <c:pt idx="3">
                  <c:v>0.0435</c:v>
                </c:pt>
                <c:pt idx="4">
                  <c:v>0.0134</c:v>
                </c:pt>
              </c:numCache>
            </c:numRef>
          </c:val>
        </c:ser>
        <c:dLbls>
          <c:showLegendKey val="0"/>
          <c:showVal val="1"/>
          <c:showCatName val="0"/>
          <c:showSerName val="0"/>
          <c:showPercent val="0"/>
          <c:showBubbleSize val="0"/>
        </c:dLbls>
        <c:gapWidth val="219"/>
        <c:overlap val="-27"/>
        <c:axId val="387883072"/>
        <c:axId val="387893152"/>
        <c:extLst>
          <c:ext xmlns:c15="http://schemas.microsoft.com/office/drawing/2012/chart" uri="{02D57815-91ED-43cb-92C2-25804820EDAC}">
            <c15:filteredBarSeries>
              <c15:ser>
                <c:idx val="0"/>
                <c:order val="0"/>
                <c:tx>
                  <c:strRef>
                    <c:extLst>
                      <c:ext uri="{02D57815-91ED-43cb-92C2-25804820EDAC}">
                        <c15:formulaRef>
                          <c15:sqref>[郑州.xlsx]专题B!$B$26</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[郑州.xlsx]专题B!$A$27:$A$31</c15:sqref>
                        </c15:formulaRef>
                      </c:ext>
                    </c:extLst>
                    <c:strCache>
                      <c:ptCount val="5"/>
                      <c:pt idx="0">
                        <c:v>非常高</c:v>
                      </c:pt>
                      <c:pt idx="1">
                        <c:v>比较高</c:v>
                      </c:pt>
                      <c:pt idx="2">
                        <c:v>中等</c:v>
                      </c:pt>
                      <c:pt idx="3">
                        <c:v>比较低</c:v>
                      </c:pt>
                      <c:pt idx="4">
                        <c:v>非常低</c:v>
                      </c:pt>
                    </c:strCache>
                  </c:strRef>
                </c:cat>
                <c:val>
                  <c:numRef>
                    <c:extLst>
                      <c:ext uri="{02D57815-91ED-43cb-92C2-25804820EDAC}">
                        <c15:formulaRef>
                          <c15:sqref>{155,319,248,33,9}</c15:sqref>
                        </c15:formulaRef>
                      </c:ext>
                    </c:extLst>
                    <c:numCache>
                      <c:formatCode>General</c:formatCode>
                      <c:ptCount val="5"/>
                      <c:pt idx="0">
                        <c:v>155</c:v>
                      </c:pt>
                      <c:pt idx="1">
                        <c:v>319</c:v>
                      </c:pt>
                      <c:pt idx="2">
                        <c:v>248</c:v>
                      </c:pt>
                      <c:pt idx="3">
                        <c:v>33</c:v>
                      </c:pt>
                      <c:pt idx="4">
                        <c:v>9</c:v>
                      </c:pt>
                    </c:numCache>
                  </c:numRef>
                </c:val>
              </c15:ser>
            </c15:filteredBarSeries>
            <c15:filteredBarSeries>
              <c15:ser>
                <c:idx val="2"/>
                <c:order val="2"/>
                <c:tx>
                  <c:strRef>
                    <c:extLst>
                      <c:ext uri="{02D57815-91ED-43cb-92C2-25804820EDAC}">
                        <c15:formulaRef>
                          <c15:sqref>[郑州.xlsx]专题B!$D$26</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[郑州.xlsx]专题B!$A$27:$A$31</c15:sqref>
                        </c15:formulaRef>
                      </c:ext>
                    </c:extLst>
                    <c:strCache>
                      <c:ptCount val="5"/>
                      <c:pt idx="0">
                        <c:v>非常高</c:v>
                      </c:pt>
                      <c:pt idx="1">
                        <c:v>比较高</c:v>
                      </c:pt>
                      <c:pt idx="2">
                        <c:v>中等</c:v>
                      </c:pt>
                      <c:pt idx="3">
                        <c:v>比较低</c:v>
                      </c:pt>
                      <c:pt idx="4">
                        <c:v>非常低</c:v>
                      </c:pt>
                    </c:strCache>
                  </c:strRef>
                </c:cat>
                <c:val>
                  <c:numRef>
                    <c:extLst>
                      <c:ext uri="{02D57815-91ED-43cb-92C2-25804820EDAC}">
                        <c15:formulaRef>
                          <c15:sqref>{461,825,620,88,27}</c15:sqref>
                        </c15:formulaRef>
                      </c:ext>
                    </c:extLst>
                    <c:numCache>
                      <c:formatCode>General</c:formatCode>
                      <c:ptCount val="5"/>
                      <c:pt idx="0">
                        <c:v>461</c:v>
                      </c:pt>
                      <c:pt idx="1">
                        <c:v>825</c:v>
                      </c:pt>
                      <c:pt idx="2">
                        <c:v>620</c:v>
                      </c:pt>
                      <c:pt idx="3">
                        <c:v>88</c:v>
                      </c:pt>
                      <c:pt idx="4">
                        <c:v>27</c:v>
                      </c:pt>
                    </c:numCache>
                  </c:numRef>
                </c:val>
              </c15:ser>
            </c15:filteredBarSeries>
          </c:ext>
        </c:extLst>
      </c:barChart>
      <c:catAx>
        <c:axId val="38788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893152"/>
        <c:crosses val="autoZero"/>
        <c:auto val="1"/>
        <c:lblAlgn val="ctr"/>
        <c:lblOffset val="100"/>
        <c:noMultiLvlLbl val="0"/>
      </c:catAx>
      <c:valAx>
        <c:axId val="387893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883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当前信息技术产业供应链安全问题的威胁程度评价</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[郑州.xlsx]专题B!$C$35</c:f>
              <c:strCache>
                <c:ptCount val="1"/>
                <c:pt idx="0">
                  <c:v>郑州占比</c:v>
                </c:pt>
              </c:strCache>
            </c:strRef>
          </c:tx>
          <c:spPr>
            <a:solidFill>
              <a:schemeClr val="accent2"/>
            </a:solidFill>
            <a:ln>
              <a:noFill/>
            </a:ln>
            <a:effectLst/>
          </c:spPr>
          <c:invertIfNegative val="0"/>
          <c:dLbls>
            <c:dLbl>
              <c:idx val="2"/>
              <c:layout>
                <c:manualLayout>
                  <c:x val="-0.005555555555555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4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[郑州.xlsx]专题B!$A$36:$A$40</c:f>
              <c:strCache>
                <c:ptCount val="5"/>
                <c:pt idx="0">
                  <c:v>非常高</c:v>
                </c:pt>
                <c:pt idx="1">
                  <c:v>比较高</c:v>
                </c:pt>
                <c:pt idx="2">
                  <c:v>中等</c:v>
                </c:pt>
                <c:pt idx="3">
                  <c:v>比较低</c:v>
                </c:pt>
                <c:pt idx="4">
                  <c:v>非常低</c:v>
                </c:pt>
              </c:strCache>
            </c:strRef>
          </c:cat>
          <c:val>
            <c:numRef>
              <c:f>[郑州.xlsx]专题B!$C$36:$C$40</c:f>
              <c:numCache>
                <c:formatCode>0.00%</c:formatCode>
                <c:ptCount val="5"/>
                <c:pt idx="0">
                  <c:v>0.1843</c:v>
                </c:pt>
                <c:pt idx="1">
                  <c:v>0.3778</c:v>
                </c:pt>
                <c:pt idx="2">
                  <c:v>0.3608</c:v>
                </c:pt>
                <c:pt idx="3">
                  <c:v>0.0601</c:v>
                </c:pt>
                <c:pt idx="4">
                  <c:v>0.017</c:v>
                </c:pt>
              </c:numCache>
            </c:numRef>
          </c:val>
        </c:ser>
        <c:ser>
          <c:idx val="3"/>
          <c:order val="3"/>
          <c:tx>
            <c:strRef>
              <c:f>[郑州.xlsx]专题B!$E$35</c:f>
              <c:strCache>
                <c:ptCount val="1"/>
                <c:pt idx="0">
                  <c:v>河南占比</c:v>
                </c:pt>
              </c:strCache>
            </c:strRef>
          </c:tx>
          <c:spPr>
            <a:solidFill>
              <a:schemeClr val="accent1"/>
            </a:solidFill>
            <a:ln>
              <a:noFill/>
            </a:ln>
            <a:effectLst/>
          </c:spPr>
          <c:invertIfNegative val="0"/>
          <c:dLbls>
            <c:dLbl>
              <c:idx val="0"/>
              <c:layout>
                <c:manualLayout>
                  <c:x val="0.00998796630565584"/>
                  <c:y val="0.0231857175979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2.12188906800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23"/>
                  <c:y val="-0.0046296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56"/>
                  <c:y val="-8.48755627201333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[郑州.xlsx]专题B!$A$36:$A$40</c:f>
              <c:strCache>
                <c:ptCount val="5"/>
                <c:pt idx="0">
                  <c:v>非常高</c:v>
                </c:pt>
                <c:pt idx="1">
                  <c:v>比较高</c:v>
                </c:pt>
                <c:pt idx="2">
                  <c:v>中等</c:v>
                </c:pt>
                <c:pt idx="3">
                  <c:v>比较低</c:v>
                </c:pt>
                <c:pt idx="4">
                  <c:v>非常低</c:v>
                </c:pt>
              </c:strCache>
            </c:strRef>
          </c:cat>
          <c:val>
            <c:numRef>
              <c:f>[郑州.xlsx]专题B!$E$36:$E$40</c:f>
              <c:numCache>
                <c:formatCode>0.00%</c:formatCode>
                <c:ptCount val="5"/>
                <c:pt idx="0">
                  <c:v>0.182</c:v>
                </c:pt>
                <c:pt idx="1">
                  <c:v>0.3557</c:v>
                </c:pt>
                <c:pt idx="2">
                  <c:v>0.3621</c:v>
                </c:pt>
                <c:pt idx="3">
                  <c:v>0.0734</c:v>
                </c:pt>
                <c:pt idx="4">
                  <c:v>0.0268</c:v>
                </c:pt>
              </c:numCache>
            </c:numRef>
          </c:val>
        </c:ser>
        <c:dLbls>
          <c:showLegendKey val="0"/>
          <c:showVal val="1"/>
          <c:showCatName val="0"/>
          <c:showSerName val="0"/>
          <c:showPercent val="0"/>
          <c:showBubbleSize val="0"/>
        </c:dLbls>
        <c:gapWidth val="219"/>
        <c:overlap val="-27"/>
        <c:axId val="488533120"/>
        <c:axId val="488528080"/>
        <c:extLst>
          <c:ext xmlns:c15="http://schemas.microsoft.com/office/drawing/2012/chart" uri="{02D57815-91ED-43cb-92C2-25804820EDAC}">
            <c15:filteredBarSeries>
              <c15:ser>
                <c:idx val="0"/>
                <c:order val="0"/>
                <c:tx>
                  <c:strRef>
                    <c:extLst>
                      <c:ext uri="{02D57815-91ED-43cb-92C2-25804820EDAC}">
                        <c15:formulaRef>
                          <c15:sqref>[郑州.xlsx]专题B!$B$35</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[郑州.xlsx]专题B!$A$36:$A$40</c15:sqref>
                        </c15:formulaRef>
                      </c:ext>
                    </c:extLst>
                    <c:strCache>
                      <c:ptCount val="5"/>
                      <c:pt idx="0">
                        <c:v>非常高</c:v>
                      </c:pt>
                      <c:pt idx="1">
                        <c:v>比较高</c:v>
                      </c:pt>
                      <c:pt idx="2">
                        <c:v>中等</c:v>
                      </c:pt>
                      <c:pt idx="3">
                        <c:v>比较低</c:v>
                      </c:pt>
                      <c:pt idx="4">
                        <c:v>非常低</c:v>
                      </c:pt>
                    </c:strCache>
                  </c:strRef>
                </c:cat>
                <c:val>
                  <c:numRef>
                    <c:extLst>
                      <c:ext uri="{02D57815-91ED-43cb-92C2-25804820EDAC}">
                        <c15:formulaRef>
                          <c15:sqref>{141,289,276,46,13}</c15:sqref>
                        </c15:formulaRef>
                      </c:ext>
                    </c:extLst>
                    <c:numCache>
                      <c:formatCode>General</c:formatCode>
                      <c:ptCount val="5"/>
                      <c:pt idx="0">
                        <c:v>141</c:v>
                      </c:pt>
                      <c:pt idx="1">
                        <c:v>289</c:v>
                      </c:pt>
                      <c:pt idx="2">
                        <c:v>276</c:v>
                      </c:pt>
                      <c:pt idx="3">
                        <c:v>46</c:v>
                      </c:pt>
                      <c:pt idx="4">
                        <c:v>13</c:v>
                      </c:pt>
                    </c:numCache>
                  </c:numRef>
                </c:val>
              </c15:ser>
            </c15:filteredBarSeries>
            <c15:filteredBarSeries>
              <c15:ser>
                <c:idx val="2"/>
                <c:order val="2"/>
                <c:tx>
                  <c:strRef>
                    <c:extLst>
                      <c:ext uri="{02D57815-91ED-43cb-92C2-25804820EDAC}">
                        <c15:formulaRef>
                          <c15:sqref>[郑州.xlsx]专题B!$D$35</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[郑州.xlsx]专题B!$A$36:$A$40</c15:sqref>
                        </c15:formulaRef>
                      </c:ext>
                    </c:extLst>
                    <c:strCache>
                      <c:ptCount val="5"/>
                      <c:pt idx="0">
                        <c:v>非常高</c:v>
                      </c:pt>
                      <c:pt idx="1">
                        <c:v>比较高</c:v>
                      </c:pt>
                      <c:pt idx="2">
                        <c:v>中等</c:v>
                      </c:pt>
                      <c:pt idx="3">
                        <c:v>比较低</c:v>
                      </c:pt>
                      <c:pt idx="4">
                        <c:v>非常低</c:v>
                      </c:pt>
                    </c:strCache>
                  </c:strRef>
                </c:cat>
                <c:val>
                  <c:numRef>
                    <c:extLst>
                      <c:ext uri="{02D57815-91ED-43cb-92C2-25804820EDAC}">
                        <c15:formulaRef>
                          <c15:sqref>{367,717,730,148,54}</c15:sqref>
                        </c15:formulaRef>
                      </c:ext>
                    </c:extLst>
                    <c:numCache>
                      <c:formatCode>General</c:formatCode>
                      <c:ptCount val="5"/>
                      <c:pt idx="0">
                        <c:v>367</c:v>
                      </c:pt>
                      <c:pt idx="1">
                        <c:v>717</c:v>
                      </c:pt>
                      <c:pt idx="2">
                        <c:v>730</c:v>
                      </c:pt>
                      <c:pt idx="3">
                        <c:v>148</c:v>
                      </c:pt>
                      <c:pt idx="4">
                        <c:v>54</c:v>
                      </c:pt>
                    </c:numCache>
                  </c:numRef>
                </c:val>
              </c15:ser>
            </c15:filteredBarSeries>
          </c:ext>
        </c:extLst>
      </c:barChart>
      <c:catAx>
        <c:axId val="4885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528080"/>
        <c:crosses val="autoZero"/>
        <c:auto val="1"/>
        <c:lblAlgn val="ctr"/>
        <c:lblOffset val="100"/>
        <c:noMultiLvlLbl val="0"/>
      </c:catAx>
      <c:valAx>
        <c:axId val="488528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533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当前网络安全产品与服务的资费水平评价</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[郑州.xlsx]专题B!$A$45:$A$49</c:f>
              <c:strCache>
                <c:ptCount val="5"/>
                <c:pt idx="0">
                  <c:v>非常高</c:v>
                </c:pt>
                <c:pt idx="1">
                  <c:v>比较高</c:v>
                </c:pt>
                <c:pt idx="2">
                  <c:v>适中</c:v>
                </c:pt>
                <c:pt idx="3">
                  <c:v>比较低</c:v>
                </c:pt>
                <c:pt idx="4">
                  <c:v>非常低</c:v>
                </c:pt>
              </c:strCache>
            </c:strRef>
          </c:cat>
          <c:val>
            <c:numRef>
              <c:f>[郑州.xlsx]专题B!$B$45:$B$49</c:f>
              <c:numCache>
                <c:formatCode>0.00%</c:formatCode>
                <c:ptCount val="5"/>
                <c:pt idx="0">
                  <c:v>0.1651</c:v>
                </c:pt>
                <c:pt idx="1">
                  <c:v>0.3761</c:v>
                </c:pt>
                <c:pt idx="2">
                  <c:v>0.3919</c:v>
                </c:pt>
                <c:pt idx="3">
                  <c:v>0.0537</c:v>
                </c:pt>
                <c:pt idx="4">
                  <c:v>0.0131</c:v>
                </c:pt>
              </c:numCache>
            </c:numRef>
          </c:val>
        </c:ser>
        <c:dLbls>
          <c:showLegendKey val="0"/>
          <c:showVal val="1"/>
          <c:showCatName val="0"/>
          <c:showSerName val="0"/>
          <c:showPercent val="0"/>
          <c:showBubbleSize val="0"/>
        </c:dLbls>
        <c:gapWidth val="219"/>
        <c:overlap val="-27"/>
        <c:axId val="333968976"/>
        <c:axId val="382511088"/>
      </c:barChart>
      <c:catAx>
        <c:axId val="33396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511088"/>
        <c:crosses val="autoZero"/>
        <c:auto val="1"/>
        <c:lblAlgn val="ctr"/>
        <c:lblOffset val="100"/>
        <c:noMultiLvlLbl val="0"/>
      </c:catAx>
      <c:valAx>
        <c:axId val="382511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96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[郑州.xlsx]主卷!$B$40</c:f>
              <c:strCache>
                <c:ptCount val="1"/>
                <c:pt idx="0">
                  <c:v>郑州占比</c:v>
                </c:pt>
              </c:strCache>
            </c:strRef>
          </c:tx>
          <c:spPr>
            <a:solidFill>
              <a:schemeClr val="accent1"/>
            </a:solidFill>
            <a:ln>
              <a:noFill/>
            </a:ln>
            <a:effectLst/>
          </c:spPr>
          <c:invertIfNegative val="0"/>
          <c:dLbls>
            <c:dLbl>
              <c:idx val="6"/>
              <c:layout>
                <c:manualLayout>
                  <c:x val="0.0020459742447948"/>
                  <c:y val="0.00409244102070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[郑州.xlsx]主卷!$A$41:$A$47</c:f>
              <c:strCache>
                <c:ptCount val="7"/>
                <c:pt idx="0">
                  <c:v>行业协会与中介机构</c:v>
                </c:pt>
                <c:pt idx="1">
                  <c:v>政府网络安全监管机构</c:v>
                </c:pt>
                <c:pt idx="2">
                  <c:v>网络安全产品与服务提供商</c:v>
                </c:pt>
                <c:pt idx="3">
                  <c:v>科研机构和院校</c:v>
                </c:pt>
                <c:pt idx="4">
                  <c:v>网络服务营运商</c:v>
                </c:pt>
                <c:pt idx="5">
                  <c:v>国有企事业单位用户</c:v>
                </c:pt>
                <c:pt idx="6">
                  <c:v>一般互联网用户单位</c:v>
                </c:pt>
              </c:strCache>
            </c:strRef>
          </c:cat>
          <c:val>
            <c:numRef>
              <c:f>[郑州.xlsx]主卷!$B$41:$B$47</c:f>
              <c:numCache>
                <c:formatCode>0.00%</c:formatCode>
                <c:ptCount val="7"/>
                <c:pt idx="0">
                  <c:v>0.025</c:v>
                </c:pt>
                <c:pt idx="1">
                  <c:v>0.0422</c:v>
                </c:pt>
                <c:pt idx="2" c:formatCode="0%">
                  <c:v>0.06</c:v>
                </c:pt>
                <c:pt idx="3">
                  <c:v>0.0857</c:v>
                </c:pt>
                <c:pt idx="4">
                  <c:v>0.2149</c:v>
                </c:pt>
                <c:pt idx="5">
                  <c:v>0.2248</c:v>
                </c:pt>
                <c:pt idx="6">
                  <c:v>0.3473</c:v>
                </c:pt>
              </c:numCache>
            </c:numRef>
          </c:val>
        </c:ser>
        <c:ser>
          <c:idx val="3"/>
          <c:order val="3"/>
          <c:tx>
            <c:strRef>
              <c:f>[郑州.xlsx]主卷!$E$40</c:f>
              <c:strCache>
                <c:ptCount val="1"/>
                <c:pt idx="0">
                  <c:v>河南占比</c:v>
                </c:pt>
              </c:strCache>
            </c:strRef>
          </c:tx>
          <c:spPr>
            <a:solidFill>
              <a:schemeClr val="accent6"/>
            </a:solidFill>
            <a:ln>
              <a:noFill/>
            </a:ln>
            <a:effectLst/>
          </c:spPr>
          <c:invertIfNegative val="0"/>
          <c:dLbls>
            <c:dLbl>
              <c:idx val="0"/>
              <c:layout>
                <c:manualLayout>
                  <c:x val="0"/>
                  <c:y val="-0.02181138346489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24636476942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80432073120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67386788533444"/>
                  <c:y val="-0.0249272953884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5795596177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869547154133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557955961778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[郑州.xlsx]主卷!$A$41:$A$47</c:f>
              <c:strCache>
                <c:ptCount val="7"/>
                <c:pt idx="0">
                  <c:v>行业协会与中介机构</c:v>
                </c:pt>
                <c:pt idx="1">
                  <c:v>政府网络安全监管机构</c:v>
                </c:pt>
                <c:pt idx="2">
                  <c:v>网络安全产品与服务提供商</c:v>
                </c:pt>
                <c:pt idx="3">
                  <c:v>科研机构和院校</c:v>
                </c:pt>
                <c:pt idx="4">
                  <c:v>网络服务营运商</c:v>
                </c:pt>
                <c:pt idx="5">
                  <c:v>国有企事业单位用户</c:v>
                </c:pt>
                <c:pt idx="6">
                  <c:v>一般互联网用户单位</c:v>
                </c:pt>
              </c:strCache>
            </c:strRef>
          </c:cat>
          <c:val>
            <c:numRef>
              <c:f>[郑州.xlsx]主卷!$E$41:$E$47</c:f>
              <c:numCache>
                <c:formatCode>0.00%</c:formatCode>
                <c:ptCount val="7"/>
                <c:pt idx="0">
                  <c:v>0.0217</c:v>
                </c:pt>
                <c:pt idx="1">
                  <c:v>0.0469</c:v>
                </c:pt>
                <c:pt idx="2">
                  <c:v>0.0544</c:v>
                </c:pt>
                <c:pt idx="3">
                  <c:v>0.0903</c:v>
                </c:pt>
                <c:pt idx="4">
                  <c:v>0.1888</c:v>
                </c:pt>
                <c:pt idx="5">
                  <c:v>0.219</c:v>
                </c:pt>
                <c:pt idx="6">
                  <c:v>0.3788</c:v>
                </c:pt>
              </c:numCache>
            </c:numRef>
          </c:val>
        </c:ser>
        <c:dLbls>
          <c:showLegendKey val="0"/>
          <c:showVal val="1"/>
          <c:showCatName val="0"/>
          <c:showSerName val="0"/>
          <c:showPercent val="0"/>
          <c:showBubbleSize val="0"/>
        </c:dLbls>
        <c:gapWidth val="182"/>
        <c:axId val="216885488"/>
        <c:axId val="216886048"/>
        <c:extLst>
          <c:ext xmlns:c15="http://schemas.microsoft.com/office/drawing/2012/chart" uri="{02D57815-91ED-43cb-92C2-25804820EDAC}">
            <c15:filteredBarSeries>
              <c15:ser>
                <c:idx val="1"/>
                <c:order val="1"/>
                <c:tx>
                  <c:strRef>
                    <c:extLst>
                      <c:ext uri="{02D57815-91ED-43cb-92C2-25804820EDAC}">
                        <c15:formulaRef>
                          <c15:sqref>[郑州.xlsx]主卷!$C$40</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[郑州.xlsx]主卷!$A$41:$A$47</c15:sqref>
                        </c15:formulaRef>
                      </c:ext>
                    </c:extLst>
                    <c:strCache>
                      <c:ptCount val="7"/>
                      <c:pt idx="0">
                        <c:v>行业协会与中介机构</c:v>
                      </c:pt>
                      <c:pt idx="1">
                        <c:v>政府网络安全监管机构</c:v>
                      </c:pt>
                      <c:pt idx="2">
                        <c:v>网络安全产品与服务提供商</c:v>
                      </c:pt>
                      <c:pt idx="3">
                        <c:v>科研机构和院校</c:v>
                      </c:pt>
                      <c:pt idx="4">
                        <c:v>网络服务营运商</c:v>
                      </c:pt>
                      <c:pt idx="5">
                        <c:v>国有企事业单位用户</c:v>
                      </c:pt>
                      <c:pt idx="6">
                        <c:v>一般互联网用户单位</c:v>
                      </c:pt>
                    </c:strCache>
                  </c:strRef>
                </c:cat>
                <c:val>
                  <c:numRef>
                    <c:extLst>
                      <c:ext uri="{02D57815-91ED-43cb-92C2-25804820EDAC}">
                        <c15:formulaRef>
                          <c15:sqref>{583,984,1398,1996,5006,5236,8088}</c15:sqref>
                        </c15:formulaRef>
                      </c:ext>
                    </c:extLst>
                    <c:numCache>
                      <c:formatCode>General</c:formatCode>
                      <c:ptCount val="7"/>
                      <c:pt idx="0">
                        <c:v>583</c:v>
                      </c:pt>
                      <c:pt idx="1">
                        <c:v>984</c:v>
                      </c:pt>
                      <c:pt idx="2">
                        <c:v>1398</c:v>
                      </c:pt>
                      <c:pt idx="3">
                        <c:v>1996</c:v>
                      </c:pt>
                      <c:pt idx="4">
                        <c:v>5006</c:v>
                      </c:pt>
                      <c:pt idx="5">
                        <c:v>5236</c:v>
                      </c:pt>
                      <c:pt idx="6">
                        <c:v>8088</c:v>
                      </c:pt>
                    </c:numCache>
                  </c:numRef>
                </c:val>
              </c15:ser>
            </c15:filteredBarSeries>
            <c15:filteredBarSeries>
              <c15:ser>
                <c:idx val="2"/>
                <c:order val="2"/>
                <c:tx>
                  <c:strRef>
                    <c:extLst>
                      <c:ext uri="{02D57815-91ED-43cb-92C2-25804820EDAC}">
                        <c15:formulaRef>
                          <c15:sqref>[郑州.xlsx]主卷!$D$40</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[郑州.xlsx]主卷!$A$41:$A$47</c15:sqref>
                        </c15:formulaRef>
                      </c:ext>
                    </c:extLst>
                    <c:strCache>
                      <c:ptCount val="7"/>
                      <c:pt idx="0">
                        <c:v>行业协会与中介机构</c:v>
                      </c:pt>
                      <c:pt idx="1">
                        <c:v>政府网络安全监管机构</c:v>
                      </c:pt>
                      <c:pt idx="2">
                        <c:v>网络安全产品与服务提供商</c:v>
                      </c:pt>
                      <c:pt idx="3">
                        <c:v>科研机构和院校</c:v>
                      </c:pt>
                      <c:pt idx="4">
                        <c:v>网络服务营运商</c:v>
                      </c:pt>
                      <c:pt idx="5">
                        <c:v>国有企事业单位用户</c:v>
                      </c:pt>
                      <c:pt idx="6">
                        <c:v>一般互联网用户单位</c:v>
                      </c:pt>
                    </c:strCache>
                  </c:strRef>
                </c:cat>
                <c:val>
                  <c:numRef>
                    <c:extLst>
                      <c:ext uri="{02D57815-91ED-43cb-92C2-25804820EDAC}">
                        <c15:formulaRef>
                          <c15:sqref>{1209,2612,3029,5025,10505,12186,21080}</c15:sqref>
                        </c15:formulaRef>
                      </c:ext>
                    </c:extLst>
                    <c:numCache>
                      <c:formatCode>General</c:formatCode>
                      <c:ptCount val="7"/>
                      <c:pt idx="0">
                        <c:v>1209</c:v>
                      </c:pt>
                      <c:pt idx="1">
                        <c:v>2612</c:v>
                      </c:pt>
                      <c:pt idx="2">
                        <c:v>3029</c:v>
                      </c:pt>
                      <c:pt idx="3">
                        <c:v>5025</c:v>
                      </c:pt>
                      <c:pt idx="4">
                        <c:v>10505</c:v>
                      </c:pt>
                      <c:pt idx="5">
                        <c:v>12186</c:v>
                      </c:pt>
                      <c:pt idx="6">
                        <c:v>21080</c:v>
                      </c:pt>
                    </c:numCache>
                  </c:numRef>
                </c:val>
              </c15:ser>
            </c15:filteredBarSeries>
          </c:ext>
        </c:extLst>
      </c:barChart>
      <c:catAx>
        <c:axId val="216885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886048"/>
        <c:crosses val="autoZero"/>
        <c:auto val="1"/>
        <c:lblAlgn val="ctr"/>
        <c:lblOffset val="100"/>
        <c:noMultiLvlLbl val="0"/>
      </c:catAx>
      <c:valAx>
        <c:axId val="2168860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8854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5"/>
              <c:layout>
                <c:manualLayout>
                  <c:x val="0"/>
                  <c:y val="-0.04887983706720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[郑州.xlsx]专题B!$A$54:$A$59</c:f>
              <c:strCache>
                <c:ptCount val="6"/>
                <c:pt idx="0">
                  <c:v>体验差</c:v>
                </c:pt>
                <c:pt idx="1">
                  <c:v>服务不到位</c:v>
                </c:pt>
                <c:pt idx="2">
                  <c:v>性能低</c:v>
                </c:pt>
                <c:pt idx="3">
                  <c:v>可靠性差</c:v>
                </c:pt>
                <c:pt idx="4">
                  <c:v>核心技术依赖进口</c:v>
                </c:pt>
                <c:pt idx="5">
                  <c:v>创新能力不足</c:v>
                </c:pt>
              </c:strCache>
            </c:strRef>
          </c:cat>
          <c:val>
            <c:numRef>
              <c:f>[郑州.xlsx]专题B!$B$54:$B$59</c:f>
              <c:numCache>
                <c:formatCode>0.00%</c:formatCode>
                <c:ptCount val="6"/>
                <c:pt idx="0">
                  <c:v>0.2893</c:v>
                </c:pt>
                <c:pt idx="1">
                  <c:v>0.3534</c:v>
                </c:pt>
                <c:pt idx="2">
                  <c:v>0.3665</c:v>
                </c:pt>
                <c:pt idx="3">
                  <c:v>0.3874</c:v>
                </c:pt>
                <c:pt idx="4">
                  <c:v>0.5118</c:v>
                </c:pt>
                <c:pt idx="5">
                  <c:v>0.5772</c:v>
                </c:pt>
              </c:numCache>
            </c:numRef>
          </c:val>
        </c:ser>
        <c:dLbls>
          <c:showLegendKey val="0"/>
          <c:showVal val="1"/>
          <c:showCatName val="0"/>
          <c:showSerName val="0"/>
          <c:showPercent val="0"/>
          <c:showBubbleSize val="0"/>
        </c:dLbls>
        <c:gapWidth val="182"/>
        <c:axId val="468547280"/>
        <c:axId val="468545600"/>
      </c:barChart>
      <c:catAx>
        <c:axId val="46854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545600"/>
        <c:crosses val="autoZero"/>
        <c:auto val="1"/>
        <c:lblAlgn val="ctr"/>
        <c:lblOffset val="100"/>
        <c:noMultiLvlLbl val="0"/>
      </c:catAx>
      <c:valAx>
        <c:axId val="4685456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54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当前网络安全产品与服务是否应实行等级评价管理？ </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25"/>
                  <c:y val="-0.0787037037037037"/>
                </c:manualLayout>
              </c:layout>
              <c:tx>
                <c:rich>
                  <a:bodyPr rot="0" spcFirstLastPara="1" vertOverflow="clip" vert="horz" wrap="square" lIns="38100" tIns="19050" rIns="38100" bIns="19050" anchor="ctr" anchorCtr="1"/>
                  <a:lstStyle/>
                  <a:p>
                    <a:fld id="{a147f21c-d3d0-42ee-ad9b-dcc090a8d46c}"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66666666666667"/>
                  <c:y val="0.0277777777777778"/>
                </c:manualLayout>
              </c:layout>
              <c:tx>
                <c:rich>
                  <a:bodyPr rot="0" spcFirstLastPara="1" vertOverflow="clip" vert="horz" wrap="square" lIns="38100" tIns="19050" rIns="38100" bIns="19050" anchor="ctr" anchorCtr="1"/>
                  <a:lstStyle/>
                  <a:p>
                    <a:fld id="{52964435-b320-42ff-a0fd-dc5a964fa684}"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[郑州.xlsx]专题B!$A$64:$A$65</c:f>
              <c:strCache>
                <c:ptCount val="2"/>
                <c:pt idx="0">
                  <c:v>是</c:v>
                </c:pt>
                <c:pt idx="1">
                  <c:v>否</c:v>
                </c:pt>
              </c:strCache>
            </c:strRef>
          </c:cat>
          <c:val>
            <c:numRef>
              <c:f>[郑州.xlsx]专题B!$B$64:$B$65</c:f>
              <c:numCache>
                <c:formatCode>0.00%</c:formatCode>
                <c:ptCount val="2"/>
                <c:pt idx="0">
                  <c:v>0.9102</c:v>
                </c:pt>
                <c:pt idx="1">
                  <c:v>0.0898</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[郑州.xlsx]专题B!$A$70:$A$74</c:f>
              <c:strCache>
                <c:ptCount val="5"/>
                <c:pt idx="0">
                  <c:v>非常充足</c:v>
                </c:pt>
                <c:pt idx="1">
                  <c:v>比较充足</c:v>
                </c:pt>
                <c:pt idx="2">
                  <c:v>一般</c:v>
                </c:pt>
                <c:pt idx="3">
                  <c:v>有些缺乏</c:v>
                </c:pt>
                <c:pt idx="4">
                  <c:v>严重不足</c:v>
                </c:pt>
              </c:strCache>
            </c:strRef>
          </c:cat>
          <c:val>
            <c:numRef>
              <c:f>[郑州.xlsx]专题B!$B$70:$B$74</c:f>
              <c:numCache>
                <c:formatCode>0.00%</c:formatCode>
                <c:ptCount val="5"/>
                <c:pt idx="0">
                  <c:v>0.1102</c:v>
                </c:pt>
                <c:pt idx="1">
                  <c:v>0.2441</c:v>
                </c:pt>
                <c:pt idx="2">
                  <c:v>0.416</c:v>
                </c:pt>
                <c:pt idx="3">
                  <c:v>0.168</c:v>
                </c:pt>
                <c:pt idx="4">
                  <c:v>0.0617</c:v>
                </c:pt>
              </c:numCache>
            </c:numRef>
          </c:val>
        </c:ser>
        <c:dLbls>
          <c:showLegendKey val="0"/>
          <c:showVal val="1"/>
          <c:showCatName val="0"/>
          <c:showSerName val="0"/>
          <c:showPercent val="0"/>
          <c:showBubbleSize val="0"/>
        </c:dLbls>
        <c:gapWidth val="219"/>
        <c:overlap val="-27"/>
        <c:axId val="482031888"/>
        <c:axId val="482034688"/>
      </c:barChart>
      <c:catAx>
        <c:axId val="48203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2034688"/>
        <c:crosses val="autoZero"/>
        <c:auto val="1"/>
        <c:lblAlgn val="ctr"/>
        <c:lblOffset val="100"/>
        <c:noMultiLvlLbl val="0"/>
      </c:catAx>
      <c:valAx>
        <c:axId val="482034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203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[郑州.xlsx]专题B!$A$79:$A$83</c:f>
              <c:strCache>
                <c:ptCount val="5"/>
                <c:pt idx="0">
                  <c:v>非常充足</c:v>
                </c:pt>
                <c:pt idx="1">
                  <c:v>比较充足</c:v>
                </c:pt>
                <c:pt idx="2">
                  <c:v>一般</c:v>
                </c:pt>
                <c:pt idx="3">
                  <c:v>有些缺乏</c:v>
                </c:pt>
                <c:pt idx="4">
                  <c:v>严重不足</c:v>
                </c:pt>
              </c:strCache>
            </c:strRef>
          </c:cat>
          <c:val>
            <c:numRef>
              <c:f>[郑州.xlsx]专题B!$B$79:$B$83</c:f>
              <c:numCache>
                <c:formatCode>0.00%</c:formatCode>
                <c:ptCount val="5"/>
                <c:pt idx="0">
                  <c:v>0.1073</c:v>
                </c:pt>
                <c:pt idx="1">
                  <c:v>0.2251</c:v>
                </c:pt>
                <c:pt idx="2">
                  <c:v>0.4725</c:v>
                </c:pt>
                <c:pt idx="3">
                  <c:v>0.1518</c:v>
                </c:pt>
                <c:pt idx="4">
                  <c:v>0.0432</c:v>
                </c:pt>
              </c:numCache>
            </c:numRef>
          </c:val>
        </c:ser>
        <c:dLbls>
          <c:showLegendKey val="0"/>
          <c:showVal val="1"/>
          <c:showCatName val="0"/>
          <c:showSerName val="0"/>
          <c:showPercent val="0"/>
          <c:showBubbleSize val="0"/>
        </c:dLbls>
        <c:gapWidth val="219"/>
        <c:overlap val="-27"/>
        <c:axId val="496200816"/>
        <c:axId val="496199136"/>
      </c:barChart>
      <c:catAx>
        <c:axId val="49620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199136"/>
        <c:crosses val="autoZero"/>
        <c:auto val="1"/>
        <c:lblAlgn val="ctr"/>
        <c:lblOffset val="100"/>
        <c:noMultiLvlLbl val="0"/>
      </c:catAx>
      <c:valAx>
        <c:axId val="496199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0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[郑州.xlsx]专题B!$A$88:$A$94</c:f>
              <c:strCache>
                <c:ptCount val="7"/>
                <c:pt idx="0">
                  <c:v>其他</c:v>
                </c:pt>
                <c:pt idx="1">
                  <c:v>整改方案设计</c:v>
                </c:pt>
                <c:pt idx="2">
                  <c:v>攻防演练</c:v>
                </c:pt>
                <c:pt idx="3">
                  <c:v>安全咨询</c:v>
                </c:pt>
                <c:pt idx="4">
                  <c:v>应急演练</c:v>
                </c:pt>
                <c:pt idx="5">
                  <c:v>安全运维</c:v>
                </c:pt>
                <c:pt idx="6">
                  <c:v>安全监理</c:v>
                </c:pt>
              </c:strCache>
            </c:strRef>
          </c:cat>
          <c:val>
            <c:numRef>
              <c:f>[郑州.xlsx]专题B!$B$88:$B$94</c:f>
              <c:numCache>
                <c:formatCode>0.00%</c:formatCode>
                <c:ptCount val="7"/>
                <c:pt idx="0">
                  <c:v>0.0837</c:v>
                </c:pt>
                <c:pt idx="1">
                  <c:v>0.3346</c:v>
                </c:pt>
                <c:pt idx="2">
                  <c:v>0.4641</c:v>
                </c:pt>
                <c:pt idx="3">
                  <c:v>0.4732</c:v>
                </c:pt>
                <c:pt idx="4">
                  <c:v>0.4771</c:v>
                </c:pt>
                <c:pt idx="5">
                  <c:v>0.5569</c:v>
                </c:pt>
                <c:pt idx="6">
                  <c:v>0.5582</c:v>
                </c:pt>
              </c:numCache>
            </c:numRef>
          </c:val>
        </c:ser>
        <c:dLbls>
          <c:showLegendKey val="0"/>
          <c:showVal val="1"/>
          <c:showCatName val="0"/>
          <c:showSerName val="0"/>
          <c:showPercent val="0"/>
          <c:showBubbleSize val="0"/>
        </c:dLbls>
        <c:gapWidth val="182"/>
        <c:axId val="496209216"/>
        <c:axId val="496194656"/>
      </c:barChart>
      <c:catAx>
        <c:axId val="49620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194656"/>
        <c:crosses val="autoZero"/>
        <c:auto val="1"/>
        <c:lblAlgn val="ctr"/>
        <c:lblOffset val="100"/>
        <c:noMultiLvlLbl val="0"/>
      </c:catAx>
      <c:valAx>
        <c:axId val="496194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0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制约网络安全行业发展的主要障碍</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[郑州.xlsx]专题B!$A$99:$A$104</c:f>
              <c:strCache>
                <c:ptCount val="6"/>
                <c:pt idx="0">
                  <c:v>其他</c:v>
                </c:pt>
                <c:pt idx="1">
                  <c:v>管理</c:v>
                </c:pt>
                <c:pt idx="2">
                  <c:v>政策</c:v>
                </c:pt>
                <c:pt idx="3">
                  <c:v>资金</c:v>
                </c:pt>
                <c:pt idx="4">
                  <c:v>技术</c:v>
                </c:pt>
                <c:pt idx="5">
                  <c:v>人才</c:v>
                </c:pt>
              </c:strCache>
            </c:strRef>
          </c:cat>
          <c:val>
            <c:numRef>
              <c:f>[郑州.xlsx]专题B!$B$99:$B$104</c:f>
              <c:numCache>
                <c:formatCode>0.00%</c:formatCode>
                <c:ptCount val="6"/>
                <c:pt idx="0">
                  <c:v>0.0539</c:v>
                </c:pt>
                <c:pt idx="1">
                  <c:v>0.4776</c:v>
                </c:pt>
                <c:pt idx="2">
                  <c:v>0.5303</c:v>
                </c:pt>
                <c:pt idx="3">
                  <c:v>0.5526</c:v>
                </c:pt>
                <c:pt idx="4">
                  <c:v>0.7013</c:v>
                </c:pt>
                <c:pt idx="5">
                  <c:v>0.7303</c:v>
                </c:pt>
              </c:numCache>
            </c:numRef>
          </c:val>
        </c:ser>
        <c:dLbls>
          <c:showLegendKey val="0"/>
          <c:showVal val="1"/>
          <c:showCatName val="0"/>
          <c:showSerName val="0"/>
          <c:showPercent val="0"/>
          <c:showBubbleSize val="0"/>
        </c:dLbls>
        <c:gapWidth val="182"/>
        <c:axId val="496208096"/>
        <c:axId val="337400080"/>
      </c:barChart>
      <c:catAx>
        <c:axId val="49620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7400080"/>
        <c:crosses val="autoZero"/>
        <c:auto val="1"/>
        <c:lblAlgn val="ctr"/>
        <c:lblOffset val="100"/>
        <c:noMultiLvlLbl val="0"/>
      </c:catAx>
      <c:valAx>
        <c:axId val="337400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0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网络安全行业未来一年发展的趋势评价</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[郑州.xlsx]专题B!$A$109:$A$113</c:f>
              <c:strCache>
                <c:ptCount val="5"/>
                <c:pt idx="0">
                  <c:v>明显增长</c:v>
                </c:pt>
                <c:pt idx="1">
                  <c:v>略有增长</c:v>
                </c:pt>
                <c:pt idx="2">
                  <c:v>持平</c:v>
                </c:pt>
                <c:pt idx="3">
                  <c:v>略有下滑</c:v>
                </c:pt>
                <c:pt idx="4">
                  <c:v>明显下滑</c:v>
                </c:pt>
              </c:strCache>
            </c:strRef>
          </c:cat>
          <c:val>
            <c:numRef>
              <c:f>[郑州.xlsx]专题B!$B$109:$B$113</c:f>
              <c:numCache>
                <c:formatCode>0.00%</c:formatCode>
                <c:ptCount val="5"/>
                <c:pt idx="0">
                  <c:v>0.3768</c:v>
                </c:pt>
                <c:pt idx="1" c:formatCode="0%">
                  <c:v>0.39</c:v>
                </c:pt>
                <c:pt idx="2">
                  <c:v>0.1686</c:v>
                </c:pt>
                <c:pt idx="3">
                  <c:v>0.0501</c:v>
                </c:pt>
                <c:pt idx="4">
                  <c:v>0.0145</c:v>
                </c:pt>
              </c:numCache>
            </c:numRef>
          </c:val>
        </c:ser>
        <c:dLbls>
          <c:showLegendKey val="0"/>
          <c:showVal val="1"/>
          <c:showCatName val="0"/>
          <c:showSerName val="0"/>
          <c:showPercent val="0"/>
          <c:showBubbleSize val="0"/>
        </c:dLbls>
        <c:gapWidth val="219"/>
        <c:overlap val="-27"/>
        <c:axId val="491132160"/>
        <c:axId val="491133280"/>
      </c:barChart>
      <c:catAx>
        <c:axId val="49113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33280"/>
        <c:crosses val="autoZero"/>
        <c:auto val="1"/>
        <c:lblAlgn val="ctr"/>
        <c:lblOffset val="100"/>
        <c:noMultiLvlLbl val="0"/>
      </c:catAx>
      <c:valAx>
        <c:axId val="491133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3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[郑州.xlsx]专题B!$A$118:$A$125</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[郑州.xlsx]专题B!$B$118:$B$125</c:f>
              <c:numCache>
                <c:formatCode>0.00%</c:formatCode>
                <c:ptCount val="8"/>
                <c:pt idx="0">
                  <c:v>0.1333</c:v>
                </c:pt>
                <c:pt idx="1">
                  <c:v>0.2288</c:v>
                </c:pt>
                <c:pt idx="2">
                  <c:v>0.2536</c:v>
                </c:pt>
                <c:pt idx="3">
                  <c:v>0.2575</c:v>
                </c:pt>
                <c:pt idx="4">
                  <c:v>0.3098</c:v>
                </c:pt>
                <c:pt idx="5">
                  <c:v>0.3516</c:v>
                </c:pt>
                <c:pt idx="6">
                  <c:v>0.4026</c:v>
                </c:pt>
                <c:pt idx="7">
                  <c:v>0.5085</c:v>
                </c:pt>
              </c:numCache>
            </c:numRef>
          </c:val>
        </c:ser>
        <c:dLbls>
          <c:showLegendKey val="0"/>
          <c:showVal val="1"/>
          <c:showCatName val="0"/>
          <c:showSerName val="0"/>
          <c:showPercent val="0"/>
          <c:showBubbleSize val="0"/>
        </c:dLbls>
        <c:gapWidth val="182"/>
        <c:axId val="378391120"/>
        <c:axId val="382805200"/>
      </c:barChart>
      <c:catAx>
        <c:axId val="37839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805200"/>
        <c:crosses val="autoZero"/>
        <c:auto val="1"/>
        <c:lblAlgn val="ctr"/>
        <c:lblOffset val="100"/>
        <c:noMultiLvlLbl val="0"/>
      </c:catAx>
      <c:valAx>
        <c:axId val="3828052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39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对新技术新应用的网络安全问题的关注度</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[郑州.xlsx]专题C!$A$9:$A$17</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[郑州.xlsx]专题C!$B$9:$B$17</c:f>
              <c:numCache>
                <c:formatCode>0.00%</c:formatCode>
                <c:ptCount val="9"/>
                <c:pt idx="0">
                  <c:v>0.0303</c:v>
                </c:pt>
                <c:pt idx="1">
                  <c:v>0.0484</c:v>
                </c:pt>
                <c:pt idx="2">
                  <c:v>0.1841</c:v>
                </c:pt>
                <c:pt idx="3">
                  <c:v>0.2982</c:v>
                </c:pt>
                <c:pt idx="4">
                  <c:v>0.3379</c:v>
                </c:pt>
                <c:pt idx="5">
                  <c:v>0.3647</c:v>
                </c:pt>
                <c:pt idx="6">
                  <c:v>0.5065</c:v>
                </c:pt>
                <c:pt idx="7">
                  <c:v>0.5756</c:v>
                </c:pt>
                <c:pt idx="8">
                  <c:v>0.7632</c:v>
                </c:pt>
              </c:numCache>
            </c:numRef>
          </c:val>
        </c:ser>
        <c:dLbls>
          <c:showLegendKey val="0"/>
          <c:showVal val="1"/>
          <c:showCatName val="0"/>
          <c:showSerName val="0"/>
          <c:showPercent val="0"/>
          <c:showBubbleSize val="0"/>
        </c:dLbls>
        <c:gapWidth val="182"/>
        <c:axId val="386891264"/>
        <c:axId val="386887344"/>
      </c:barChart>
      <c:catAx>
        <c:axId val="38689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887344"/>
        <c:crosses val="autoZero"/>
        <c:auto val="1"/>
        <c:lblAlgn val="ctr"/>
        <c:lblOffset val="100"/>
        <c:noMultiLvlLbl val="0"/>
      </c:catAx>
      <c:valAx>
        <c:axId val="386887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89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5G</a:t>
            </a:r>
            <a:r>
              <a:rPr lang="zh-CN" altLang="en-US"/>
              <a:t>网络</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1" vertOverflow="clip" vert="horz" wrap="square" lIns="38100" tIns="19050" rIns="38100" bIns="19050" anchor="ctr" anchorCtr="1"/>
                  <a:lstStyle/>
                  <a:p>
                    <a:fld id="{e26d7019-20d7-4d78-9e25-70be552b24e2}"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clip" vert="horz" wrap="square" lIns="38100" tIns="19050" rIns="38100" bIns="19050" anchor="ctr" anchorCtr="1"/>
                  <a:lstStyle/>
                  <a:p>
                    <a:fld id="{3756fbd3-2b22-41e0-af2d-1a46d7c8fccf}"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lang="zh-CN" sz="1000" b="1"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[郑州.xlsx]专题C!$A$22:$A$23</c:f>
              <c:strCache>
                <c:ptCount val="2"/>
                <c:pt idx="0">
                  <c:v>是</c:v>
                </c:pt>
                <c:pt idx="1">
                  <c:v>否</c:v>
                </c:pt>
              </c:strCache>
            </c:strRef>
          </c:cat>
          <c:val>
            <c:numRef>
              <c:f>[郑州.xlsx]专题C!$B$22:$B$23</c:f>
              <c:numCache>
                <c:formatCode>0.00%</c:formatCode>
                <c:ptCount val="2"/>
                <c:pt idx="0">
                  <c:v>0.1984</c:v>
                </c:pt>
                <c:pt idx="1">
                  <c:v>0.8016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[郑州.xlsx]主卷!$C$51</c:f>
              <c:strCache>
                <c:ptCount val="1"/>
                <c:pt idx="0">
                  <c:v>郑州占比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[郑州.xlsx]主卷!$A$52:$A$56</c:f>
              <c:strCache>
                <c:ptCount val="5"/>
                <c:pt idx="0">
                  <c:v>非常安全</c:v>
                </c:pt>
                <c:pt idx="1">
                  <c:v>安全</c:v>
                </c:pt>
                <c:pt idx="2">
                  <c:v>一般</c:v>
                </c:pt>
                <c:pt idx="3">
                  <c:v>不安全</c:v>
                </c:pt>
                <c:pt idx="4">
                  <c:v>非常不安全</c:v>
                </c:pt>
              </c:strCache>
            </c:strRef>
          </c:cat>
          <c:val>
            <c:numRef>
              <c:f>[郑州.xlsx]主卷!$C$52:$C$56</c:f>
              <c:numCache>
                <c:formatCode>0.00%</c:formatCode>
                <c:ptCount val="5"/>
                <c:pt idx="0">
                  <c:v>0.2154</c:v>
                </c:pt>
                <c:pt idx="1">
                  <c:v>0.3919</c:v>
                </c:pt>
                <c:pt idx="2">
                  <c:v>0.3252</c:v>
                </c:pt>
                <c:pt idx="3">
                  <c:v>0.0523</c:v>
                </c:pt>
                <c:pt idx="4">
                  <c:v>0.0152</c:v>
                </c:pt>
              </c:numCache>
            </c:numRef>
          </c:val>
        </c:ser>
        <c:ser>
          <c:idx val="3"/>
          <c:order val="3"/>
          <c:tx>
            <c:strRef>
              <c:f>[郑州.xlsx]主卷!$E$51</c:f>
              <c:strCache>
                <c:ptCount val="1"/>
                <c:pt idx="0">
                  <c:v>河南占比</c:v>
                </c:pt>
              </c:strCache>
            </c:strRef>
          </c:tx>
          <c:spPr>
            <a:solidFill>
              <a:schemeClr val="accent1">
                <a:lumMod val="75000"/>
              </a:schemeClr>
            </a:solidFill>
            <a:ln>
              <a:noFill/>
            </a:ln>
            <a:effectLst/>
          </c:spPr>
          <c:invertIfNegative val="0"/>
          <c:dLbls>
            <c:dLbl>
              <c:idx val="0"/>
              <c:layout>
                <c:manualLayout>
                  <c:x val="0.0115621788283659"/>
                  <c:y val="0.00675675675675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1973278520041"/>
                  <c:y val="-0.003378378378378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1973278520041"/>
                  <c:y val="0.00675675675675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48920863309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48920863309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[郑州.xlsx]主卷!$A$52:$A$56</c:f>
              <c:strCache>
                <c:ptCount val="5"/>
                <c:pt idx="0">
                  <c:v>非常安全</c:v>
                </c:pt>
                <c:pt idx="1">
                  <c:v>安全</c:v>
                </c:pt>
                <c:pt idx="2">
                  <c:v>一般</c:v>
                </c:pt>
                <c:pt idx="3">
                  <c:v>不安全</c:v>
                </c:pt>
                <c:pt idx="4">
                  <c:v>非常不安全</c:v>
                </c:pt>
              </c:strCache>
            </c:strRef>
          </c:cat>
          <c:val>
            <c:numRef>
              <c:f>[郑州.xlsx]主卷!$E$52:$E$56</c:f>
              <c:numCache>
                <c:formatCode>0.00%</c:formatCode>
                <c:ptCount val="5"/>
                <c:pt idx="0">
                  <c:v>0.1994</c:v>
                </c:pt>
                <c:pt idx="1">
                  <c:v>0.3965</c:v>
                </c:pt>
                <c:pt idx="2">
                  <c:v>0.3393</c:v>
                </c:pt>
                <c:pt idx="3">
                  <c:v>0.0509</c:v>
                </c:pt>
                <c:pt idx="4">
                  <c:v>0.0139</c:v>
                </c:pt>
              </c:numCache>
            </c:numRef>
          </c:val>
        </c:ser>
        <c:dLbls>
          <c:showLegendKey val="0"/>
          <c:showVal val="1"/>
          <c:showCatName val="0"/>
          <c:showSerName val="0"/>
          <c:showPercent val="0"/>
          <c:showBubbleSize val="0"/>
        </c:dLbls>
        <c:gapWidth val="219"/>
        <c:overlap val="-27"/>
        <c:axId val="216890528"/>
        <c:axId val="216891088"/>
        <c:extLst>
          <c:ext xmlns:c15="http://schemas.microsoft.com/office/drawing/2012/chart" uri="{02D57815-91ED-43cb-92C2-25804820EDAC}">
            <c15:filteredBarSeries>
              <c15:ser>
                <c:idx val="0"/>
                <c:order val="0"/>
                <c:tx>
                  <c:strRef>
                    <c:extLst>
                      <c:ext uri="{02D57815-91ED-43cb-92C2-25804820EDAC}">
                        <c15:formulaRef>
                          <c15:sqref>[郑州.xlsx]主卷!$B$51</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[郑州.xlsx]主卷!$A$52:$A$56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{5017,9128,7574,1219,353}</c15:sqref>
                        </c15:formulaRef>
                      </c:ext>
                    </c:extLst>
                    <c:numCache>
                      <c:formatCode>General</c:formatCode>
                      <c:ptCount val="5"/>
                      <c:pt idx="0">
                        <c:v>5017</c:v>
                      </c:pt>
                      <c:pt idx="1">
                        <c:v>9128</c:v>
                      </c:pt>
                      <c:pt idx="2">
                        <c:v>7574</c:v>
                      </c:pt>
                      <c:pt idx="3">
                        <c:v>1219</c:v>
                      </c:pt>
                      <c:pt idx="4">
                        <c:v>353</c:v>
                      </c:pt>
                    </c:numCache>
                  </c:numRef>
                </c:val>
              </c15:ser>
            </c15:filteredBarSeries>
            <c15:filteredBarSeries>
              <c15:ser>
                <c:idx val="2"/>
                <c:order val="2"/>
                <c:tx>
                  <c:strRef>
                    <c:extLst>
                      <c:ext uri="{02D57815-91ED-43cb-92C2-25804820EDAC}">
                        <c15:formulaRef>
                          <c15:sqref>[郑州.xlsx]主卷!$D$51</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[郑州.xlsx]主卷!$A$52:$A$56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{11097,22061,18881,2833,774}</c15:sqref>
                        </c15:formulaRef>
                      </c:ext>
                    </c:extLst>
                    <c:numCache>
                      <c:formatCode>General</c:formatCode>
                      <c:ptCount val="5"/>
                      <c:pt idx="0">
                        <c:v>11097</c:v>
                      </c:pt>
                      <c:pt idx="1">
                        <c:v>22061</c:v>
                      </c:pt>
                      <c:pt idx="2">
                        <c:v>18881</c:v>
                      </c:pt>
                      <c:pt idx="3">
                        <c:v>2833</c:v>
                      </c:pt>
                      <c:pt idx="4">
                        <c:v>774</c:v>
                      </c:pt>
                    </c:numCache>
                  </c:numRef>
                </c:val>
              </c15:ser>
            </c15:filteredBarSeries>
          </c:ext>
        </c:extLst>
      </c:barChart>
      <c:catAx>
        <c:axId val="2168905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891088"/>
        <c:crosses val="autoZero"/>
        <c:auto val="1"/>
        <c:lblAlgn val="ctr"/>
        <c:lblOffset val="100"/>
        <c:noMultiLvlLbl val="0"/>
      </c:catAx>
      <c:valAx>
        <c:axId val="216891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890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网络使用体验的评价</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[郑州.xlsx]专题C!$A$28:$A$32</c:f>
              <c:strCache>
                <c:ptCount val="5"/>
                <c:pt idx="0">
                  <c:v>其他</c:v>
                </c:pt>
                <c:pt idx="1">
                  <c:v>5G信号不稳定，不是很好用</c:v>
                </c:pt>
                <c:pt idx="2">
                  <c:v>5G和4G差不多，一般</c:v>
                </c:pt>
                <c:pt idx="3">
                  <c:v>5G流量用的太快，费用有点高</c:v>
                </c:pt>
                <c:pt idx="4">
                  <c:v>5G上网很快，很好用</c:v>
                </c:pt>
              </c:strCache>
            </c:strRef>
          </c:cat>
          <c:val>
            <c:numRef>
              <c:f>[郑州.xlsx]专题C!$B$28:$B$32</c:f>
              <c:numCache>
                <c:formatCode>0.00%</c:formatCode>
                <c:ptCount val="5"/>
                <c:pt idx="0">
                  <c:v>0.0221</c:v>
                </c:pt>
                <c:pt idx="1">
                  <c:v>0.1814</c:v>
                </c:pt>
                <c:pt idx="2">
                  <c:v>0.208</c:v>
                </c:pt>
                <c:pt idx="3">
                  <c:v>0.2345</c:v>
                </c:pt>
                <c:pt idx="4">
                  <c:v>0.4956</c:v>
                </c:pt>
              </c:numCache>
            </c:numRef>
          </c:val>
        </c:ser>
        <c:dLbls>
          <c:showLegendKey val="0"/>
          <c:showVal val="1"/>
          <c:showCatName val="0"/>
          <c:showSerName val="0"/>
          <c:showPercent val="0"/>
          <c:showBubbleSize val="0"/>
        </c:dLbls>
        <c:gapWidth val="182"/>
        <c:axId val="386900784"/>
        <c:axId val="386896304"/>
      </c:barChart>
      <c:catAx>
        <c:axId val="38690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896304"/>
        <c:crosses val="autoZero"/>
        <c:auto val="1"/>
        <c:lblAlgn val="ctr"/>
        <c:lblOffset val="100"/>
        <c:noMultiLvlLbl val="0"/>
      </c:catAx>
      <c:valAx>
        <c:axId val="386896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90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目前不使用</a:t>
            </a:r>
            <a:r>
              <a:rPr lang="en-US" altLang="zh-CN"/>
              <a:t>5G</a:t>
            </a:r>
            <a:r>
              <a:rPr lang="zh-CN" altLang="en-US"/>
              <a:t>网络的原因</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[郑州.xlsx]专题C!$A$37:$A$44</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[郑州.xlsx]专题C!$B$37:$B$44</c:f>
              <c:numCache>
                <c:formatCode>0.00%</c:formatCode>
                <c:ptCount val="8"/>
                <c:pt idx="0">
                  <c:v>0.0218</c:v>
                </c:pt>
                <c:pt idx="1">
                  <c:v>0.0731</c:v>
                </c:pt>
                <c:pt idx="2">
                  <c:v>0.1332</c:v>
                </c:pt>
                <c:pt idx="3">
                  <c:v>0.1834</c:v>
                </c:pt>
                <c:pt idx="4">
                  <c:v>0.357</c:v>
                </c:pt>
                <c:pt idx="5">
                  <c:v>0.3712</c:v>
                </c:pt>
                <c:pt idx="6">
                  <c:v>0.3952</c:v>
                </c:pt>
                <c:pt idx="7">
                  <c:v>0.5164</c:v>
                </c:pt>
              </c:numCache>
            </c:numRef>
          </c:val>
        </c:ser>
        <c:dLbls>
          <c:showLegendKey val="0"/>
          <c:showVal val="1"/>
          <c:showCatName val="0"/>
          <c:showSerName val="0"/>
          <c:showPercent val="0"/>
          <c:showBubbleSize val="0"/>
        </c:dLbls>
        <c:gapWidth val="182"/>
        <c:axId val="386899664"/>
        <c:axId val="386905824"/>
      </c:barChart>
      <c:catAx>
        <c:axId val="38689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905824"/>
        <c:crosses val="autoZero"/>
        <c:auto val="1"/>
        <c:lblAlgn val="ctr"/>
        <c:lblOffset val="100"/>
        <c:noMultiLvlLbl val="0"/>
      </c:catAx>
      <c:valAx>
        <c:axId val="3869058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89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5G</a:t>
            </a:r>
            <a:r>
              <a:rPr lang="zh-CN" altLang="en-US"/>
              <a:t>技术的顾虑</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[郑州.xlsx]专题C!$A$49:$A$53</c:f>
              <c:strCache>
                <c:ptCount val="5"/>
                <c:pt idx="0">
                  <c:v>其他</c:v>
                </c:pt>
                <c:pt idx="1">
                  <c:v>网络不够安全</c:v>
                </c:pt>
                <c:pt idx="2">
                  <c:v>技术不成熟，出现网络错误/卡顿</c:v>
                </c:pt>
                <c:pt idx="3">
                  <c:v>网络覆盖面小</c:v>
                </c:pt>
                <c:pt idx="4">
                  <c:v>比4G服务收费更高</c:v>
                </c:pt>
              </c:strCache>
            </c:strRef>
          </c:cat>
          <c:val>
            <c:numRef>
              <c:f>[郑州.xlsx]专题C!$B$49:$B$53</c:f>
              <c:numCache>
                <c:formatCode>0.00%</c:formatCode>
                <c:ptCount val="5"/>
                <c:pt idx="0">
                  <c:v>0.0676</c:v>
                </c:pt>
                <c:pt idx="1">
                  <c:v>0.2634</c:v>
                </c:pt>
                <c:pt idx="2">
                  <c:v>0.3432</c:v>
                </c:pt>
                <c:pt idx="3">
                  <c:v>0.5841</c:v>
                </c:pt>
                <c:pt idx="4">
                  <c:v>0.6508</c:v>
                </c:pt>
              </c:numCache>
            </c:numRef>
          </c:val>
        </c:ser>
        <c:dLbls>
          <c:showLegendKey val="0"/>
          <c:showVal val="1"/>
          <c:showCatName val="0"/>
          <c:showSerName val="0"/>
          <c:showPercent val="0"/>
          <c:showBubbleSize val="0"/>
        </c:dLbls>
        <c:gapWidth val="182"/>
        <c:axId val="491144480"/>
        <c:axId val="491132720"/>
      </c:barChart>
      <c:catAx>
        <c:axId val="49114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32720"/>
        <c:crosses val="autoZero"/>
        <c:auto val="1"/>
        <c:lblAlgn val="ctr"/>
        <c:lblOffset val="100"/>
        <c:noMultiLvlLbl val="0"/>
      </c:catAx>
      <c:valAx>
        <c:axId val="491132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4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人工智能</a:t>
            </a:r>
            <a:r>
              <a:rPr lang="en-US" altLang="zh-CN"/>
              <a:t>(AI)</a:t>
            </a:r>
            <a:r>
              <a:rPr lang="zh-CN" altLang="en-US"/>
              <a:t>可以发挥优势的领域</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[郑州.xlsx]专题C!$A$58:$A$65</c:f>
              <c:strCache>
                <c:ptCount val="8"/>
                <c:pt idx="0">
                  <c:v>其他</c:v>
                </c:pt>
                <c:pt idx="1">
                  <c:v>军事</c:v>
                </c:pt>
                <c:pt idx="2">
                  <c:v>社会安全治理</c:v>
                </c:pt>
                <c:pt idx="3">
                  <c:v>农业</c:v>
                </c:pt>
                <c:pt idx="4">
                  <c:v>工业制造</c:v>
                </c:pt>
                <c:pt idx="5">
                  <c:v>教育</c:v>
                </c:pt>
                <c:pt idx="6">
                  <c:v>交通</c:v>
                </c:pt>
                <c:pt idx="7">
                  <c:v>医疗</c:v>
                </c:pt>
              </c:strCache>
            </c:strRef>
          </c:cat>
          <c:val>
            <c:numRef>
              <c:f>[郑州.xlsx]专题C!$B$58:$B$65</c:f>
              <c:numCache>
                <c:formatCode>0.00%</c:formatCode>
                <c:ptCount val="8"/>
                <c:pt idx="0">
                  <c:v>0.0372</c:v>
                </c:pt>
                <c:pt idx="1">
                  <c:v>0.3221</c:v>
                </c:pt>
                <c:pt idx="2">
                  <c:v>0.3853</c:v>
                </c:pt>
                <c:pt idx="3">
                  <c:v>0.3905</c:v>
                </c:pt>
                <c:pt idx="4">
                  <c:v>0.4364</c:v>
                </c:pt>
                <c:pt idx="5">
                  <c:v>0.5636</c:v>
                </c:pt>
                <c:pt idx="6">
                  <c:v>0.7273</c:v>
                </c:pt>
                <c:pt idx="7">
                  <c:v>0.7368</c:v>
                </c:pt>
              </c:numCache>
            </c:numRef>
          </c:val>
        </c:ser>
        <c:dLbls>
          <c:showLegendKey val="0"/>
          <c:showVal val="1"/>
          <c:showCatName val="0"/>
          <c:showSerName val="0"/>
          <c:showPercent val="0"/>
          <c:showBubbleSize val="0"/>
        </c:dLbls>
        <c:gapWidth val="182"/>
        <c:axId val="472262512"/>
        <c:axId val="472265872"/>
      </c:barChart>
      <c:catAx>
        <c:axId val="472262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5872"/>
        <c:crosses val="autoZero"/>
        <c:auto val="1"/>
        <c:lblAlgn val="ctr"/>
        <c:lblOffset val="100"/>
        <c:noMultiLvlLbl val="0"/>
      </c:catAx>
      <c:valAx>
        <c:axId val="472265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目前人工智能应用的发展面临的最大阻力</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[郑州.xlsx]专题C!$A$70:$A$76</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[郑州.xlsx]专题C!$B$70:$B$76</c:f>
              <c:numCache>
                <c:formatCode>0.00%</c:formatCode>
                <c:ptCount val="7"/>
                <c:pt idx="0">
                  <c:v>0.0417</c:v>
                </c:pt>
                <c:pt idx="1">
                  <c:v>0.2806</c:v>
                </c:pt>
                <c:pt idx="2">
                  <c:v>0.3232</c:v>
                </c:pt>
                <c:pt idx="3">
                  <c:v>0.397</c:v>
                </c:pt>
                <c:pt idx="4">
                  <c:v>0.5456</c:v>
                </c:pt>
                <c:pt idx="5">
                  <c:v>0.6568</c:v>
                </c:pt>
                <c:pt idx="6">
                  <c:v>0.7255</c:v>
                </c:pt>
              </c:numCache>
            </c:numRef>
          </c:val>
        </c:ser>
        <c:dLbls>
          <c:showLegendKey val="0"/>
          <c:showVal val="1"/>
          <c:showCatName val="0"/>
          <c:showSerName val="0"/>
          <c:showPercent val="0"/>
          <c:showBubbleSize val="0"/>
        </c:dLbls>
        <c:gapWidth val="182"/>
        <c:axId val="492087856"/>
        <c:axId val="492058736"/>
      </c:barChart>
      <c:catAx>
        <c:axId val="49208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58736"/>
        <c:crosses val="autoZero"/>
        <c:auto val="1"/>
        <c:lblAlgn val="ctr"/>
        <c:lblOffset val="100"/>
        <c:noMultiLvlLbl val="0"/>
      </c:catAx>
      <c:valAx>
        <c:axId val="4920587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8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AI</a:t>
            </a:r>
            <a:r>
              <a:rPr lang="zh-CN" altLang="en-US"/>
              <a:t>换脸”应用等“深度伪造”为代表的新技术新应用的看法</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[郑州.xlsx]专题C!$A$81:$A$85</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[郑州.xlsx]专题C!$B$81:$B$85</c:f>
              <c:numCache>
                <c:formatCode>0.00%</c:formatCode>
                <c:ptCount val="5"/>
                <c:pt idx="0">
                  <c:v>0.1697</c:v>
                </c:pt>
                <c:pt idx="1">
                  <c:v>0.201</c:v>
                </c:pt>
                <c:pt idx="2">
                  <c:v>0.5065</c:v>
                </c:pt>
                <c:pt idx="3">
                  <c:v>0.6597</c:v>
                </c:pt>
                <c:pt idx="4">
                  <c:v>0.7032</c:v>
                </c:pt>
              </c:numCache>
            </c:numRef>
          </c:val>
        </c:ser>
        <c:dLbls>
          <c:showLegendKey val="0"/>
          <c:showVal val="1"/>
          <c:showCatName val="0"/>
          <c:showSerName val="0"/>
          <c:showPercent val="0"/>
          <c:showBubbleSize val="0"/>
        </c:dLbls>
        <c:gapWidth val="182"/>
        <c:axId val="492071056"/>
        <c:axId val="492074976"/>
      </c:barChart>
      <c:catAx>
        <c:axId val="492071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74976"/>
        <c:crosses val="autoZero"/>
        <c:auto val="1"/>
        <c:lblAlgn val="ctr"/>
        <c:lblOffset val="100"/>
        <c:noMultiLvlLbl val="0"/>
      </c:catAx>
      <c:valAx>
        <c:axId val="4920749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7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对区块链的了解程度</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[郑州.xlsx]专题C!$A$90:$A$94</c:f>
              <c:strCache>
                <c:ptCount val="5"/>
                <c:pt idx="0">
                  <c:v>非常了解，我是区块链从业者</c:v>
                </c:pt>
                <c:pt idx="1">
                  <c:v>了解，我经常关注区块链相关资讯</c:v>
                </c:pt>
                <c:pt idx="2">
                  <c:v>完全不了解，没听过区块链</c:v>
                </c:pt>
                <c:pt idx="3">
                  <c:v>不了解，听说过区块链但不知道是什么</c:v>
                </c:pt>
                <c:pt idx="4">
                  <c:v>一般，偶尔看到区块链的信息</c:v>
                </c:pt>
              </c:strCache>
            </c:strRef>
          </c:cat>
          <c:val>
            <c:numRef>
              <c:f>[郑州.xlsx]专题C!$B$90:$B$94</c:f>
              <c:numCache>
                <c:formatCode>0.00%</c:formatCode>
                <c:ptCount val="5"/>
                <c:pt idx="0">
                  <c:v>0.034</c:v>
                </c:pt>
                <c:pt idx="1">
                  <c:v>0.0994</c:v>
                </c:pt>
                <c:pt idx="2">
                  <c:v>0.1508</c:v>
                </c:pt>
                <c:pt idx="3">
                  <c:v>0.2842</c:v>
                </c:pt>
                <c:pt idx="4">
                  <c:v>0.4316</c:v>
                </c:pt>
              </c:numCache>
            </c:numRef>
          </c:val>
        </c:ser>
        <c:dLbls>
          <c:showLegendKey val="0"/>
          <c:showVal val="1"/>
          <c:showCatName val="0"/>
          <c:showSerName val="0"/>
          <c:showPercent val="0"/>
          <c:showBubbleSize val="0"/>
        </c:dLbls>
        <c:gapWidth val="182"/>
        <c:axId val="492069936"/>
        <c:axId val="492062656"/>
      </c:barChart>
      <c:catAx>
        <c:axId val="4920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62656"/>
        <c:crosses val="autoZero"/>
        <c:auto val="1"/>
        <c:lblAlgn val="ctr"/>
        <c:lblOffset val="100"/>
        <c:noMultiLvlLbl val="0"/>
      </c:catAx>
      <c:valAx>
        <c:axId val="492062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6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区块链未来发展趋势的看法</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[郑州.xlsx]专题C!$A$99:$A$102</c:f>
              <c:strCache>
                <c:ptCount val="4"/>
                <c:pt idx="0">
                  <c:v>只是一时兴起，最终会被淘汰</c:v>
                </c:pt>
                <c:pt idx="1">
                  <c:v>只会在某些领域(如金融)兴盛</c:v>
                </c:pt>
                <c:pt idx="2">
                  <c:v>无法预料</c:v>
                </c:pt>
                <c:pt idx="3">
                  <c:v>广泛应用于各行业领域</c:v>
                </c:pt>
              </c:strCache>
            </c:strRef>
          </c:cat>
          <c:val>
            <c:numRef>
              <c:f>[郑州.xlsx]专题C!$B$99:$B$102</c:f>
              <c:numCache>
                <c:formatCode>0.00%</c:formatCode>
                <c:ptCount val="4"/>
                <c:pt idx="0">
                  <c:v>0.0349</c:v>
                </c:pt>
                <c:pt idx="1" c:formatCode="0%">
                  <c:v>0.24</c:v>
                </c:pt>
                <c:pt idx="2">
                  <c:v>0.2766</c:v>
                </c:pt>
                <c:pt idx="3">
                  <c:v>0.4485</c:v>
                </c:pt>
              </c:numCache>
            </c:numRef>
          </c:val>
        </c:ser>
        <c:dLbls>
          <c:showLegendKey val="0"/>
          <c:showVal val="1"/>
          <c:showCatName val="0"/>
          <c:showSerName val="0"/>
          <c:showPercent val="0"/>
          <c:showBubbleSize val="0"/>
        </c:dLbls>
        <c:gapWidth val="182"/>
        <c:axId val="472284352"/>
        <c:axId val="472269232"/>
      </c:barChart>
      <c:catAx>
        <c:axId val="47228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9232"/>
        <c:crosses val="autoZero"/>
        <c:auto val="1"/>
        <c:lblAlgn val="ctr"/>
        <c:lblOffset val="100"/>
        <c:noMultiLvlLbl val="0"/>
      </c:catAx>
      <c:valAx>
        <c:axId val="4722692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8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所在单位应用了大数据技术的占比</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1" vertOverflow="clip" vert="horz" wrap="square" lIns="38100" tIns="19050" rIns="38100" bIns="19050" anchor="ctr" anchorCtr="1"/>
                  <a:lstStyle/>
                  <a:p>
                    <a:fld id="{8b540771-5703-423a-b243-ae31ddf145fb}"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1" vertOverflow="clip" vert="horz" wrap="square" lIns="38100" tIns="19050" rIns="38100" bIns="19050" anchor="ctr" anchorCtr="1"/>
                  <a:lstStyle/>
                  <a:p>
                    <a:fld id="{db5333d2-452d-42bb-9957-d561f43c39e1}" type="CATEGORYNAME">
                      <a:t>[CATEGORY NAME]</a:t>
                    </a:fld>
                    <a:endParaRPr lang="zh-CN" altLang="en-US" b="0" i="0" u="none" strike="noStrike" baseline="0">
                      <a:latin typeface="Times New Roman" panose="02020603050405020304" charset="0"/>
                      <a:ea typeface="Times New Roman" panose="02020603050405020304" charset="0"/>
                      <a:cs typeface="+mn-ea"/>
                    </a:endParaRPr>
                  </a:p>
                </c:rich>
              </c:tx>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[郑州.xlsx]专题C!$A$107:$A$109</c:f>
              <c:strCache>
                <c:ptCount val="3"/>
                <c:pt idx="0">
                  <c:v>是</c:v>
                </c:pt>
                <c:pt idx="1">
                  <c:v>否</c:v>
                </c:pt>
                <c:pt idx="2">
                  <c:v>不清楚</c:v>
                </c:pt>
              </c:strCache>
            </c:strRef>
          </c:cat>
          <c:val>
            <c:numRef>
              <c:f>[郑州.xlsx]专题C!$B$107:$B$109</c:f>
              <c:numCache>
                <c:formatCode>0.00%</c:formatCode>
                <c:ptCount val="3"/>
                <c:pt idx="0">
                  <c:v>0.527</c:v>
                </c:pt>
                <c:pt idx="1">
                  <c:v>0.2091</c:v>
                </c:pt>
                <c:pt idx="2">
                  <c:v>0.2639</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目前大数据技术应用存在的问题</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[郑州.xlsx]专题C!$A$114:$A$120</c:f>
              <c:strCache>
                <c:ptCount val="7"/>
                <c:pt idx="0">
                  <c:v>其他</c:v>
                </c:pt>
                <c:pt idx="1">
                  <c:v>管理层尚未决定布局</c:v>
                </c:pt>
                <c:pt idx="2">
                  <c:v>没有相关预算</c:v>
                </c:pt>
                <c:pt idx="3">
                  <c:v>数据采集渠道不畅</c:v>
                </c:pt>
                <c:pt idx="4">
                  <c:v>缺少数据共享政策规范支持</c:v>
                </c:pt>
                <c:pt idx="5">
                  <c:v>监管制度不完善，担心数据安全问题，</c:v>
                </c:pt>
                <c:pt idx="6">
                  <c:v>专业人员匮乏</c:v>
                </c:pt>
              </c:strCache>
            </c:strRef>
          </c:cat>
          <c:val>
            <c:numRef>
              <c:f>[郑州.xlsx]专题C!$B$114:$B$120</c:f>
              <c:numCache>
                <c:formatCode>0.00%</c:formatCode>
                <c:ptCount val="7"/>
                <c:pt idx="0">
                  <c:v>0.0819</c:v>
                </c:pt>
                <c:pt idx="1">
                  <c:v>0.2726</c:v>
                </c:pt>
                <c:pt idx="2">
                  <c:v>0.297</c:v>
                </c:pt>
                <c:pt idx="3">
                  <c:v>0.4843</c:v>
                </c:pt>
                <c:pt idx="4">
                  <c:v>0.4869</c:v>
                </c:pt>
                <c:pt idx="5">
                  <c:v>0.5131</c:v>
                </c:pt>
                <c:pt idx="6">
                  <c:v>0.5828</c:v>
                </c:pt>
              </c:numCache>
            </c:numRef>
          </c:val>
        </c:ser>
        <c:dLbls>
          <c:showLegendKey val="0"/>
          <c:showVal val="1"/>
          <c:showCatName val="0"/>
          <c:showSerName val="0"/>
          <c:showPercent val="0"/>
          <c:showBubbleSize val="0"/>
        </c:dLbls>
        <c:gapWidth val="182"/>
        <c:axId val="382255568"/>
        <c:axId val="382257248"/>
      </c:barChart>
      <c:catAx>
        <c:axId val="382255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57248"/>
        <c:crosses val="autoZero"/>
        <c:auto val="1"/>
        <c:lblAlgn val="ctr"/>
        <c:lblOffset val="100"/>
        <c:noMultiLvlLbl val="0"/>
      </c:catAx>
      <c:valAx>
        <c:axId val="382257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5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郑州从业人员网民安全感变化评价图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[郑州.xlsx]主卷!$C$60</c:f>
              <c:strCache>
                <c:ptCount val="1"/>
                <c:pt idx="0">
                  <c:v>郑州占比</c:v>
                </c:pt>
              </c:strCache>
            </c:strRef>
          </c:tx>
          <c:spPr>
            <a:solidFill>
              <a:schemeClr val="accent6"/>
            </a:solidFill>
            <a:ln>
              <a:noFill/>
            </a:ln>
            <a:effectLst/>
          </c:spPr>
          <c:invertIfNegative val="0"/>
          <c:dLbls>
            <c:dLbl>
              <c:idx val="2"/>
              <c:layout>
                <c:manualLayout>
                  <c:x val="-0.0213257965056526"/>
                  <c:y val="0.0218627022299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693730729702"/>
                  <c:y val="0.01464801049409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[郑州.xlsx]主卷!$A$61:$A$65</c:f>
              <c:strCache>
                <c:ptCount val="5"/>
                <c:pt idx="0">
                  <c:v>明显改善</c:v>
                </c:pt>
                <c:pt idx="1">
                  <c:v>略有改善</c:v>
                </c:pt>
                <c:pt idx="2">
                  <c:v>没有变化</c:v>
                </c:pt>
                <c:pt idx="3">
                  <c:v>略有恶化</c:v>
                </c:pt>
                <c:pt idx="4">
                  <c:v>明显恶化</c:v>
                </c:pt>
              </c:strCache>
            </c:strRef>
          </c:cat>
          <c:val>
            <c:numRef>
              <c:f>[郑州.xlsx]主卷!$C$61:$C$65</c:f>
              <c:numCache>
                <c:formatCode>0.00%</c:formatCode>
                <c:ptCount val="5"/>
                <c:pt idx="0">
                  <c:v>0.399</c:v>
                </c:pt>
                <c:pt idx="1">
                  <c:v>0.4035</c:v>
                </c:pt>
                <c:pt idx="2">
                  <c:v>0.1706</c:v>
                </c:pt>
                <c:pt idx="3">
                  <c:v>0.0171</c:v>
                </c:pt>
                <c:pt idx="4">
                  <c:v>0.0097</c:v>
                </c:pt>
              </c:numCache>
            </c:numRef>
          </c:val>
        </c:ser>
        <c:ser>
          <c:idx val="3"/>
          <c:order val="3"/>
          <c:tx>
            <c:strRef>
              <c:f>[郑州.xlsx]主卷!$E$60</c:f>
              <c:strCache>
                <c:ptCount val="1"/>
                <c:pt idx="0">
                  <c:v>河南占比</c:v>
                </c:pt>
              </c:strCache>
            </c:strRef>
          </c:tx>
          <c:spPr>
            <a:solidFill>
              <a:schemeClr val="tx2">
                <a:lumMod val="60000"/>
                <a:lumOff val="40000"/>
              </a:schemeClr>
            </a:solidFill>
            <a:ln>
              <a:noFill/>
            </a:ln>
            <a:effectLst/>
          </c:spPr>
          <c:invertIfNegative val="0"/>
          <c:dLbls>
            <c:dLbl>
              <c:idx val="0"/>
              <c:layout>
                <c:manualLayout>
                  <c:x val="0.0149023638232271"/>
                  <c:y val="0.0109313511149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2702980472765"/>
                  <c:y val="0.0218627022299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693730729702"/>
                  <c:y val="0.00371665937909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325796505652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[郑州.xlsx]主卷!$A$61:$A$65</c:f>
              <c:strCache>
                <c:ptCount val="5"/>
                <c:pt idx="0">
                  <c:v>明显改善</c:v>
                </c:pt>
                <c:pt idx="1">
                  <c:v>略有改善</c:v>
                </c:pt>
                <c:pt idx="2">
                  <c:v>没有变化</c:v>
                </c:pt>
                <c:pt idx="3">
                  <c:v>略有恶化</c:v>
                </c:pt>
                <c:pt idx="4">
                  <c:v>明显恶化</c:v>
                </c:pt>
              </c:strCache>
            </c:strRef>
          </c:cat>
          <c:val>
            <c:numRef>
              <c:f>[郑州.xlsx]主卷!$E$61:$E$65</c:f>
              <c:numCache>
                <c:formatCode>0.00%</c:formatCode>
                <c:ptCount val="5"/>
                <c:pt idx="0">
                  <c:v>0.3902</c:v>
                </c:pt>
                <c:pt idx="1">
                  <c:v>0.4021</c:v>
                </c:pt>
                <c:pt idx="2">
                  <c:v>0.1794</c:v>
                </c:pt>
                <c:pt idx="3">
                  <c:v>0.019</c:v>
                </c:pt>
                <c:pt idx="4">
                  <c:v>0.0093</c:v>
                </c:pt>
              </c:numCache>
            </c:numRef>
          </c:val>
        </c:ser>
        <c:dLbls>
          <c:showLegendKey val="0"/>
          <c:showVal val="1"/>
          <c:showCatName val="0"/>
          <c:showSerName val="0"/>
          <c:showPercent val="0"/>
          <c:showBubbleSize val="0"/>
        </c:dLbls>
        <c:gapWidth val="219"/>
        <c:overlap val="-27"/>
        <c:axId val="218113920"/>
        <c:axId val="218114480"/>
        <c:extLst>
          <c:ext xmlns:c15="http://schemas.microsoft.com/office/drawing/2012/chart" uri="{02D57815-91ED-43cb-92C2-25804820EDAC}">
            <c15:filteredBarSeries>
              <c15:ser>
                <c:idx val="0"/>
                <c:order val="0"/>
                <c:tx>
                  <c:strRef>
                    <c:extLst>
                      <c:ext uri="{02D57815-91ED-43cb-92C2-25804820EDAC}">
                        <c15:formulaRef>
                          <c15:sqref>[郑州.xlsx]主卷!$B$60</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[郑州.xlsx]主卷!$A$61:$A$65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{9294,9398,3974,398,227}</c15:sqref>
                        </c15:formulaRef>
                      </c:ext>
                    </c:extLst>
                    <c:numCache>
                      <c:formatCode>General</c:formatCode>
                      <c:ptCount val="5"/>
                      <c:pt idx="0">
                        <c:v>9294</c:v>
                      </c:pt>
                      <c:pt idx="1">
                        <c:v>9398</c:v>
                      </c:pt>
                      <c:pt idx="2">
                        <c:v>3974</c:v>
                      </c:pt>
                      <c:pt idx="3">
                        <c:v>398</c:v>
                      </c:pt>
                      <c:pt idx="4">
                        <c:v>227</c:v>
                      </c:pt>
                    </c:numCache>
                  </c:numRef>
                </c:val>
              </c15:ser>
            </c15:filteredBarSeries>
            <c15:filteredBarSeries>
              <c15:ser>
                <c:idx val="2"/>
                <c:order val="2"/>
                <c:tx>
                  <c:strRef>
                    <c:extLst>
                      <c:ext uri="{02D57815-91ED-43cb-92C2-25804820EDAC}">
                        <c15:formulaRef>
                          <c15:sqref>[郑州.xlsx]主卷!$D$60</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[郑州.xlsx]主卷!$A$61:$A$65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{21715,22377,9983,1056,515}</c15:sqref>
                        </c15:formulaRef>
                      </c:ext>
                    </c:extLst>
                    <c:numCache>
                      <c:formatCode>General</c:formatCode>
                      <c:ptCount val="5"/>
                      <c:pt idx="0">
                        <c:v>21715</c:v>
                      </c:pt>
                      <c:pt idx="1">
                        <c:v>22377</c:v>
                      </c:pt>
                      <c:pt idx="2">
                        <c:v>9983</c:v>
                      </c:pt>
                      <c:pt idx="3">
                        <c:v>1056</c:v>
                      </c:pt>
                      <c:pt idx="4">
                        <c:v>515</c:v>
                      </c:pt>
                    </c:numCache>
                  </c:numRef>
                </c:val>
              </c15:ser>
            </c15:filteredBarSeries>
          </c:ext>
        </c:extLst>
      </c:barChart>
      <c:catAx>
        <c:axId val="218113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114480"/>
        <c:crosses val="autoZero"/>
        <c:auto val="1"/>
        <c:lblAlgn val="ctr"/>
        <c:lblOffset val="100"/>
        <c:noMultiLvlLbl val="0"/>
      </c:catAx>
      <c:valAx>
        <c:axId val="218114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113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体验过物联网应用的领域</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[郑州.xlsx]专题C!$A$125:$A$132</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[郑州.xlsx]专题C!$B$125:$B$132</c:f>
              <c:numCache>
                <c:formatCode>0.00%</c:formatCode>
                <c:ptCount val="8"/>
                <c:pt idx="0">
                  <c:v>0.0865</c:v>
                </c:pt>
                <c:pt idx="1">
                  <c:v>0.1346</c:v>
                </c:pt>
                <c:pt idx="2">
                  <c:v>0.1556</c:v>
                </c:pt>
                <c:pt idx="3">
                  <c:v>0.3374</c:v>
                </c:pt>
                <c:pt idx="4">
                  <c:v>0.3383</c:v>
                </c:pt>
                <c:pt idx="5">
                  <c:v>0.4414</c:v>
                </c:pt>
                <c:pt idx="6">
                  <c:v>0.4738</c:v>
                </c:pt>
                <c:pt idx="7">
                  <c:v>0.7098</c:v>
                </c:pt>
              </c:numCache>
            </c:numRef>
          </c:val>
        </c:ser>
        <c:dLbls>
          <c:showLegendKey val="0"/>
          <c:showVal val="1"/>
          <c:showCatName val="0"/>
          <c:showSerName val="0"/>
          <c:showPercent val="0"/>
          <c:showBubbleSize val="0"/>
        </c:dLbls>
        <c:gapWidth val="182"/>
        <c:axId val="382262848"/>
        <c:axId val="382257808"/>
      </c:barChart>
      <c:catAx>
        <c:axId val="38226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57808"/>
        <c:crosses val="autoZero"/>
        <c:auto val="1"/>
        <c:lblAlgn val="ctr"/>
        <c:lblOffset val="100"/>
        <c:noMultiLvlLbl val="0"/>
      </c:catAx>
      <c:valAx>
        <c:axId val="3822578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6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物联网安全风险认知</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[郑州.xlsx]专题C!$A$137:$A$141</c:f>
              <c:strCache>
                <c:ptCount val="5"/>
                <c:pt idx="0">
                  <c:v>其他</c:v>
                </c:pt>
                <c:pt idx="1">
                  <c:v>企业未建立完善的安全管理机制(不重视安全风险评估工作等)</c:v>
                </c:pt>
                <c:pt idx="2">
                  <c:v>物联网使用人员易误操作(未识别钓鱼网站、使用公共Wi-Fi读取敏感软件等)</c:v>
                </c:pt>
                <c:pt idx="3">
                  <c:v>物联网设备不安全(硬件、软件、数据存储等)</c:v>
                </c:pt>
                <c:pt idx="4">
                  <c:v>信息安全风险高(数据泄露、数据破坏等)</c:v>
                </c:pt>
              </c:strCache>
            </c:strRef>
          </c:cat>
          <c:val>
            <c:numRef>
              <c:f>[郑州.xlsx]专题C!$B$137:$B$141</c:f>
              <c:numCache>
                <c:formatCode>0.00%</c:formatCode>
                <c:ptCount val="5"/>
                <c:pt idx="0">
                  <c:v>0.0635</c:v>
                </c:pt>
                <c:pt idx="1">
                  <c:v>0.4461</c:v>
                </c:pt>
                <c:pt idx="2">
                  <c:v>0.467</c:v>
                </c:pt>
                <c:pt idx="3">
                  <c:v>0.6009</c:v>
                </c:pt>
                <c:pt idx="4">
                  <c:v>0.7304</c:v>
                </c:pt>
              </c:numCache>
            </c:numRef>
          </c:val>
        </c:ser>
        <c:dLbls>
          <c:showLegendKey val="0"/>
          <c:showVal val="1"/>
          <c:showCatName val="0"/>
          <c:showSerName val="0"/>
          <c:showPercent val="0"/>
          <c:showBubbleSize val="0"/>
        </c:dLbls>
        <c:gapWidth val="182"/>
        <c:axId val="382248288"/>
        <c:axId val="382254448"/>
      </c:barChart>
      <c:catAx>
        <c:axId val="38224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54448"/>
        <c:crosses val="autoZero"/>
        <c:auto val="1"/>
        <c:lblAlgn val="ctr"/>
        <c:lblOffset val="100"/>
        <c:noMultiLvlLbl val="0"/>
      </c:catAx>
      <c:valAx>
        <c:axId val="3822544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48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数字政府和智慧城市的网络安全状况评价</a:t>
            </a:r>
            <a:endParaRPr lang="zh-CN" altLang="en-US"/>
          </a:p>
        </c:rich>
      </c:tx>
      <c:layout>
        <c:manualLayout>
          <c:xMode val="edge"/>
          <c:yMode val="edge"/>
          <c:x val="0.156111111111111"/>
          <c:y val="0.0393518518518519"/>
        </c:manualLayout>
      </c:layout>
      <c:overlay val="0"/>
      <c:spPr>
        <a:noFill/>
        <a:ln>
          <a:noFill/>
        </a:ln>
        <a:effectLst/>
      </c:spPr>
    </c:title>
    <c:autoTitleDeleted val="0"/>
    <c:plotArea>
      <c:layout/>
      <c:barChart>
        <c:barDir val="col"/>
        <c:grouping val="clustered"/>
        <c:varyColors val="0"/>
        <c:ser>
          <c:idx val="0"/>
          <c:order val="0"/>
          <c:tx>
            <c:strRef>
              <c:f>[郑州.xlsx]专题C!$B$145</c:f>
              <c:strCache>
                <c:ptCount val="1"/>
                <c:pt idx="0">
                  <c:v>郑州占比</c:v>
                </c:pt>
              </c:strCache>
            </c:strRef>
          </c:tx>
          <c:spPr>
            <a:solidFill>
              <a:schemeClr val="accent1"/>
            </a:solidFill>
            <a:ln>
              <a:noFill/>
            </a:ln>
            <a:effectLst/>
          </c:spPr>
          <c:invertIfNegative val="0"/>
          <c:dLbls>
            <c:dLbl>
              <c:idx val="1"/>
              <c:layout>
                <c:manualLayout>
                  <c:x val="-0.027777777777777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[郑州.xlsx]专题C!$A$146:$A$150</c:f>
              <c:strCache>
                <c:ptCount val="5"/>
                <c:pt idx="0">
                  <c:v>非常安全</c:v>
                </c:pt>
                <c:pt idx="1">
                  <c:v>比较安全</c:v>
                </c:pt>
                <c:pt idx="2">
                  <c:v>一般</c:v>
                </c:pt>
                <c:pt idx="3">
                  <c:v>比较不安全</c:v>
                </c:pt>
                <c:pt idx="4">
                  <c:v>非常不安全</c:v>
                </c:pt>
              </c:strCache>
            </c:strRef>
          </c:cat>
          <c:val>
            <c:numRef>
              <c:f>[郑州.xlsx]专题C!$B$146:$B$150</c:f>
              <c:numCache>
                <c:formatCode>0.00%</c:formatCode>
                <c:ptCount val="5"/>
                <c:pt idx="0">
                  <c:v>0.1321</c:v>
                </c:pt>
                <c:pt idx="1">
                  <c:v>0.4147</c:v>
                </c:pt>
                <c:pt idx="2">
                  <c:v>0.4042</c:v>
                </c:pt>
                <c:pt idx="3">
                  <c:v>0.0324</c:v>
                </c:pt>
                <c:pt idx="4">
                  <c:v>0.0166</c:v>
                </c:pt>
              </c:numCache>
            </c:numRef>
          </c:val>
        </c:ser>
        <c:ser>
          <c:idx val="3"/>
          <c:order val="3"/>
          <c:tx>
            <c:strRef>
              <c:f>[郑州.xlsx]专题C!$E$145</c:f>
              <c:strCache>
                <c:ptCount val="1"/>
                <c:pt idx="0">
                  <c:v>河南占比</c:v>
                </c:pt>
              </c:strCache>
            </c:strRef>
          </c:tx>
          <c:spPr>
            <a:solidFill>
              <a:schemeClr val="accent2"/>
            </a:solidFill>
            <a:ln>
              <a:noFill/>
            </a:ln>
            <a:effectLst/>
          </c:spPr>
          <c:invertIfNegative val="0"/>
          <c:dLbls>
            <c:dLbl>
              <c:idx val="0"/>
              <c:layout>
                <c:manualLayout>
                  <c:x val="0.00930555555555555"/>
                  <c:y val="-0.0078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4722222222222"/>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6111111111111"/>
                  <c:y val="-0.003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4166666666667"/>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[郑州.xlsx]专题C!$A$146:$A$150</c:f>
              <c:strCache>
                <c:ptCount val="5"/>
                <c:pt idx="0">
                  <c:v>非常安全</c:v>
                </c:pt>
                <c:pt idx="1">
                  <c:v>比较安全</c:v>
                </c:pt>
                <c:pt idx="2">
                  <c:v>一般</c:v>
                </c:pt>
                <c:pt idx="3">
                  <c:v>比较不安全</c:v>
                </c:pt>
                <c:pt idx="4">
                  <c:v>非常不安全</c:v>
                </c:pt>
              </c:strCache>
            </c:strRef>
          </c:cat>
          <c:val>
            <c:numRef>
              <c:f>[郑州.xlsx]专题C!$E$146:$E$150</c:f>
              <c:numCache>
                <c:formatCode>0.00%</c:formatCode>
                <c:ptCount val="5"/>
                <c:pt idx="0">
                  <c:v>0.1499</c:v>
                </c:pt>
                <c:pt idx="1">
                  <c:v>0.4163</c:v>
                </c:pt>
                <c:pt idx="2">
                  <c:v>0.3881</c:v>
                </c:pt>
                <c:pt idx="3">
                  <c:v>0.0303</c:v>
                </c:pt>
                <c:pt idx="4">
                  <c:v>0.0155</c:v>
                </c:pt>
              </c:numCache>
            </c:numRef>
          </c:val>
        </c:ser>
        <c:dLbls>
          <c:showLegendKey val="0"/>
          <c:showVal val="1"/>
          <c:showCatName val="0"/>
          <c:showSerName val="0"/>
          <c:showPercent val="0"/>
          <c:showBubbleSize val="0"/>
        </c:dLbls>
        <c:gapWidth val="219"/>
        <c:overlap val="-27"/>
        <c:axId val="491136640"/>
        <c:axId val="491136080"/>
        <c:extLst>
          <c:ext xmlns:c15="http://schemas.microsoft.com/office/drawing/2012/chart" uri="{02D57815-91ED-43cb-92C2-25804820EDAC}">
            <c15:filteredBarSeries>
              <c15:ser>
                <c:idx val="1"/>
                <c:order val="1"/>
                <c:tx>
                  <c:strRef>
                    <c:extLst>
                      <c:ext uri="{02D57815-91ED-43cb-92C2-25804820EDAC}">
                        <c15:formulaRef>
                          <c15:sqref>[郑州.xlsx]专题C!$C$145</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{151,474,462,37,19}</c15:sqref>
                        </c15:formulaRef>
                      </c:ext>
                    </c:extLst>
                    <c:numCache>
                      <c:formatCode>General</c:formatCode>
                      <c:ptCount val="5"/>
                      <c:pt idx="0">
                        <c:v>151</c:v>
                      </c:pt>
                      <c:pt idx="1">
                        <c:v>474</c:v>
                      </c:pt>
                      <c:pt idx="2">
                        <c:v>462</c:v>
                      </c:pt>
                      <c:pt idx="3">
                        <c:v>37</c:v>
                      </c:pt>
                      <c:pt idx="4">
                        <c:v>19</c:v>
                      </c:pt>
                    </c:numCache>
                  </c:numRef>
                </c:val>
              </c15:ser>
            </c15:filteredBarSeries>
            <c15:filteredBarSeries>
              <c15:ser>
                <c:idx val="2"/>
                <c:order val="2"/>
                <c:tx>
                  <c:strRef>
                    <c:extLst>
                      <c:ext uri="{02D57815-91ED-43cb-92C2-25804820EDAC}">
                        <c15:formulaRef>
                          <c15:sqref>[郑州.xlsx]专题C!$D$145</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{436,1211,1129,88,45}</c15:sqref>
                        </c15:formulaRef>
                      </c:ext>
                    </c:extLst>
                    <c:numCache>
                      <c:formatCode>General</c:formatCode>
                      <c:ptCount val="5"/>
                      <c:pt idx="0">
                        <c:v>436</c:v>
                      </c:pt>
                      <c:pt idx="1">
                        <c:v>1211</c:v>
                      </c:pt>
                      <c:pt idx="2">
                        <c:v>1129</c:v>
                      </c:pt>
                      <c:pt idx="3">
                        <c:v>88</c:v>
                      </c:pt>
                      <c:pt idx="4">
                        <c:v>45</c:v>
                      </c:pt>
                    </c:numCache>
                  </c:numRef>
                </c:val>
              </c15:ser>
            </c15:filteredBarSeries>
          </c:ext>
        </c:extLst>
      </c:barChart>
      <c:catAx>
        <c:axId val="4911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36080"/>
        <c:crosses val="autoZero"/>
        <c:auto val="1"/>
        <c:lblAlgn val="ctr"/>
        <c:lblOffset val="100"/>
        <c:noMultiLvlLbl val="0"/>
      </c:catAx>
      <c:valAx>
        <c:axId val="491136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136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数字政府和智慧城市中新技术的应用效果评价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[郑州.xlsx]专题C!$B$154</c:f>
              <c:strCache>
                <c:ptCount val="1"/>
                <c:pt idx="0">
                  <c:v>郑州占比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[郑州.xlsx]专题C!$A$155:$A$159</c:f>
              <c:strCache>
                <c:ptCount val="5"/>
                <c:pt idx="0">
                  <c:v>非常满意</c:v>
                </c:pt>
                <c:pt idx="1">
                  <c:v>满意</c:v>
                </c:pt>
                <c:pt idx="2">
                  <c:v>一般</c:v>
                </c:pt>
                <c:pt idx="3">
                  <c:v>不满意</c:v>
                </c:pt>
                <c:pt idx="4">
                  <c:v>非常不满意</c:v>
                </c:pt>
              </c:strCache>
            </c:strRef>
          </c:cat>
          <c:val>
            <c:numRef>
              <c:f>[郑州.xlsx]专题C!$B$155:$B$159</c:f>
              <c:numCache>
                <c:formatCode>0.00%</c:formatCode>
                <c:ptCount val="5"/>
                <c:pt idx="0">
                  <c:v>0.1592</c:v>
                </c:pt>
                <c:pt idx="1">
                  <c:v>0.3937</c:v>
                </c:pt>
                <c:pt idx="2">
                  <c:v>0.4121</c:v>
                </c:pt>
                <c:pt idx="3">
                  <c:v>0.021</c:v>
                </c:pt>
                <c:pt idx="4">
                  <c:v>0.014</c:v>
                </c:pt>
              </c:numCache>
            </c:numRef>
          </c:val>
        </c:ser>
        <c:ser>
          <c:idx val="3"/>
          <c:order val="3"/>
          <c:tx>
            <c:strRef>
              <c:f>[郑州.xlsx]专题C!$E$154</c:f>
              <c:strCache>
                <c:ptCount val="1"/>
                <c:pt idx="0">
                  <c:v>河南占比</c:v>
                </c:pt>
              </c:strCache>
            </c:strRef>
          </c:tx>
          <c:spPr>
            <a:solidFill>
              <a:schemeClr val="accent2"/>
            </a:solidFill>
            <a:ln>
              <a:noFill/>
            </a:ln>
            <a:effectLst/>
          </c:spPr>
          <c:invertIfNegative val="0"/>
          <c:dLbls>
            <c:dLbl>
              <c:idx val="0"/>
              <c:layout>
                <c:manualLayout>
                  <c:x val="0.0230555555555556"/>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8888888888889"/>
                  <c:y val="0.0152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23611111111111"/>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47222222222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194444444444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[郑州.xlsx]专题C!$A$155:$A$159</c:f>
              <c:strCache>
                <c:ptCount val="5"/>
                <c:pt idx="0">
                  <c:v>非常满意</c:v>
                </c:pt>
                <c:pt idx="1">
                  <c:v>满意</c:v>
                </c:pt>
                <c:pt idx="2">
                  <c:v>一般</c:v>
                </c:pt>
                <c:pt idx="3">
                  <c:v>不满意</c:v>
                </c:pt>
                <c:pt idx="4">
                  <c:v>非常不满意</c:v>
                </c:pt>
              </c:strCache>
            </c:strRef>
          </c:cat>
          <c:val>
            <c:numRef>
              <c:f>[郑州.xlsx]专题C!$E$155:$E$159</c:f>
              <c:numCache>
                <c:formatCode>0.00%</c:formatCode>
                <c:ptCount val="5"/>
                <c:pt idx="0">
                  <c:v>0.1725</c:v>
                </c:pt>
                <c:pt idx="1">
                  <c:v>0.3843</c:v>
                </c:pt>
                <c:pt idx="2">
                  <c:v>0.4081</c:v>
                </c:pt>
                <c:pt idx="3">
                  <c:v>0.0217</c:v>
                </c:pt>
                <c:pt idx="4">
                  <c:v>0.0134</c:v>
                </c:pt>
              </c:numCache>
            </c:numRef>
          </c:val>
        </c:ser>
        <c:dLbls>
          <c:showLegendKey val="0"/>
          <c:showVal val="1"/>
          <c:showCatName val="0"/>
          <c:showSerName val="0"/>
          <c:showPercent val="0"/>
          <c:showBubbleSize val="0"/>
        </c:dLbls>
        <c:gapWidth val="219"/>
        <c:overlap val="-27"/>
        <c:axId val="382242128"/>
        <c:axId val="382259488"/>
        <c:extLst>
          <c:ext xmlns:c15="http://schemas.microsoft.com/office/drawing/2012/chart" uri="{02D57815-91ED-43cb-92C2-25804820EDAC}">
            <c15:filteredBarSeries>
              <c15:ser>
                <c:idx val="1"/>
                <c:order val="1"/>
                <c:tx>
                  <c:strRef>
                    <c:extLst>
                      <c:ext uri="{02D57815-91ED-43cb-92C2-25804820EDAC}">
                        <c15:formulaRef>
                          <c15:sqref>[郑州.xlsx]专题C!$C$154</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{182,450,471,24,16}</c15:sqref>
                        </c15:formulaRef>
                      </c:ext>
                    </c:extLst>
                    <c:numCache>
                      <c:formatCode>General</c:formatCode>
                      <c:ptCount val="5"/>
                      <c:pt idx="0">
                        <c:v>182</c:v>
                      </c:pt>
                      <c:pt idx="1">
                        <c:v>450</c:v>
                      </c:pt>
                      <c:pt idx="2">
                        <c:v>471</c:v>
                      </c:pt>
                      <c:pt idx="3">
                        <c:v>24</c:v>
                      </c:pt>
                      <c:pt idx="4">
                        <c:v>16</c:v>
                      </c:pt>
                    </c:numCache>
                  </c:numRef>
                </c:val>
              </c15:ser>
            </c15:filteredBarSeries>
            <c15:filteredBarSeries>
              <c15:ser>
                <c:idx val="2"/>
                <c:order val="2"/>
                <c:tx>
                  <c:strRef>
                    <c:extLst>
                      <c:ext uri="{02D57815-91ED-43cb-92C2-25804820EDAC}">
                        <c15:formulaRef>
                          <c15:sqref>[郑州.xlsx]专题C!$D$154</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{501,1116,1185,63,39}</c15:sqref>
                        </c15:formulaRef>
                      </c:ext>
                    </c:extLst>
                    <c:numCache>
                      <c:formatCode>General</c:formatCode>
                      <c:ptCount val="5"/>
                      <c:pt idx="0">
                        <c:v>501</c:v>
                      </c:pt>
                      <c:pt idx="1">
                        <c:v>1116</c:v>
                      </c:pt>
                      <c:pt idx="2">
                        <c:v>1185</c:v>
                      </c:pt>
                      <c:pt idx="3">
                        <c:v>63</c:v>
                      </c:pt>
                      <c:pt idx="4">
                        <c:v>39</c:v>
                      </c:pt>
                    </c:numCache>
                  </c:numRef>
                </c:val>
              </c15:ser>
            </c15:filteredBarSeries>
          </c:ext>
        </c:extLst>
      </c:barChart>
      <c:catAx>
        <c:axId val="38224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59488"/>
        <c:crosses val="autoZero"/>
        <c:auto val="1"/>
        <c:lblAlgn val="ctr"/>
        <c:lblOffset val="100"/>
        <c:noMultiLvlLbl val="0"/>
      </c:catAx>
      <c:valAx>
        <c:axId val="382259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24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加强新技术应用的网络安全保障的建议</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[郑州.xlsx]专题C!$A$164:$A$171</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[郑州.xlsx]专题C!$B$164:$B$171</c:f>
              <c:numCache>
                <c:formatCode>0.00%</c:formatCode>
                <c:ptCount val="8"/>
                <c:pt idx="0">
                  <c:v>0.0502</c:v>
                </c:pt>
                <c:pt idx="1">
                  <c:v>0.4294</c:v>
                </c:pt>
                <c:pt idx="2">
                  <c:v>0.5316</c:v>
                </c:pt>
                <c:pt idx="3">
                  <c:v>0.5619</c:v>
                </c:pt>
                <c:pt idx="4">
                  <c:v>0.6173</c:v>
                </c:pt>
                <c:pt idx="5">
                  <c:v>0.6883</c:v>
                </c:pt>
                <c:pt idx="6">
                  <c:v>0.7203</c:v>
                </c:pt>
                <c:pt idx="7">
                  <c:v>0.729</c:v>
                </c:pt>
              </c:numCache>
            </c:numRef>
          </c:val>
        </c:ser>
        <c:dLbls>
          <c:showLegendKey val="0"/>
          <c:showVal val="1"/>
          <c:showCatName val="0"/>
          <c:showSerName val="0"/>
          <c:showPercent val="0"/>
          <c:showBubbleSize val="0"/>
        </c:dLbls>
        <c:gapWidth val="182"/>
        <c:axId val="375729712"/>
        <c:axId val="375717392"/>
      </c:barChart>
      <c:catAx>
        <c:axId val="37572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717392"/>
        <c:crosses val="autoZero"/>
        <c:auto val="1"/>
        <c:lblAlgn val="ctr"/>
        <c:lblOffset val="100"/>
        <c:noMultiLvlLbl val="0"/>
      </c:catAx>
      <c:valAx>
        <c:axId val="375717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72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[郑州.xlsx]专题D!$A$9:$A$13</c:f>
              <c:strCache>
                <c:ptCount val="5"/>
                <c:pt idx="0">
                  <c:v>预算充裕</c:v>
                </c:pt>
                <c:pt idx="1">
                  <c:v>预算较充裕</c:v>
                </c:pt>
                <c:pt idx="2">
                  <c:v>一般</c:v>
                </c:pt>
                <c:pt idx="3">
                  <c:v>预算较少</c:v>
                </c:pt>
                <c:pt idx="4">
                  <c:v>没有预算</c:v>
                </c:pt>
              </c:strCache>
            </c:strRef>
          </c:cat>
          <c:val>
            <c:numRef>
              <c:f>[郑州.xlsx]专题D!$B$9:$B$13</c:f>
              <c:numCache>
                <c:formatCode>0.00%</c:formatCode>
                <c:ptCount val="5"/>
                <c:pt idx="0">
                  <c:v>0.1159</c:v>
                </c:pt>
                <c:pt idx="1">
                  <c:v>0.1449</c:v>
                </c:pt>
                <c:pt idx="2">
                  <c:v>0.4348</c:v>
                </c:pt>
                <c:pt idx="3">
                  <c:v>0.1304</c:v>
                </c:pt>
                <c:pt idx="4">
                  <c:v>0.1739</c:v>
                </c:pt>
              </c:numCache>
            </c:numRef>
          </c:val>
        </c:ser>
        <c:dLbls>
          <c:showLegendKey val="0"/>
          <c:showVal val="1"/>
          <c:showCatName val="0"/>
          <c:showSerName val="0"/>
          <c:showPercent val="0"/>
          <c:showBubbleSize val="0"/>
        </c:dLbls>
        <c:gapWidth val="219"/>
        <c:overlap val="-27"/>
        <c:axId val="492065456"/>
        <c:axId val="492056496"/>
      </c:barChart>
      <c:catAx>
        <c:axId val="49206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56496"/>
        <c:crosses val="autoZero"/>
        <c:auto val="1"/>
        <c:lblAlgn val="ctr"/>
        <c:lblOffset val="100"/>
        <c:noMultiLvlLbl val="0"/>
      </c:catAx>
      <c:valAx>
        <c:axId val="492056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06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[郑州.xlsx]专题D!$A$18:$A$22</c:f>
              <c:strCache>
                <c:ptCount val="5"/>
                <c:pt idx="0">
                  <c:v>投入明显增加</c:v>
                </c:pt>
                <c:pt idx="1">
                  <c:v>投入有所增加</c:v>
                </c:pt>
                <c:pt idx="2">
                  <c:v>投入资金不变</c:v>
                </c:pt>
                <c:pt idx="3">
                  <c:v>投入有所减少</c:v>
                </c:pt>
                <c:pt idx="4">
                  <c:v>投入明显减少</c:v>
                </c:pt>
              </c:strCache>
            </c:strRef>
          </c:cat>
          <c:val>
            <c:numRef>
              <c:f>[郑州.xlsx]专题D!$B$18:$B$22</c:f>
              <c:numCache>
                <c:formatCode>0.00%</c:formatCode>
                <c:ptCount val="5"/>
                <c:pt idx="0">
                  <c:v>0.0758</c:v>
                </c:pt>
                <c:pt idx="1">
                  <c:v>0.2273</c:v>
                </c:pt>
                <c:pt idx="2">
                  <c:v>0.2727</c:v>
                </c:pt>
                <c:pt idx="3">
                  <c:v>0.2879</c:v>
                </c:pt>
                <c:pt idx="4">
                  <c:v>0.1364</c:v>
                </c:pt>
              </c:numCache>
            </c:numRef>
          </c:val>
        </c:ser>
        <c:dLbls>
          <c:showLegendKey val="0"/>
          <c:showVal val="1"/>
          <c:showCatName val="0"/>
          <c:showSerName val="0"/>
          <c:showPercent val="0"/>
          <c:showBubbleSize val="0"/>
        </c:dLbls>
        <c:gapWidth val="219"/>
        <c:overlap val="-27"/>
        <c:axId val="472280992"/>
        <c:axId val="472263632"/>
      </c:barChart>
      <c:catAx>
        <c:axId val="47228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3632"/>
        <c:crosses val="autoZero"/>
        <c:auto val="1"/>
        <c:lblAlgn val="ctr"/>
        <c:lblOffset val="100"/>
        <c:noMultiLvlLbl val="0"/>
      </c:catAx>
      <c:valAx>
        <c:axId val="472263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8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1"/>
          <c:order val="1"/>
          <c:tx>
            <c:strRef>
              <c:f>[郑州.xlsx]专题D!$C$26</c:f>
              <c:strCache>
                <c:ptCount val="1"/>
                <c:pt idx="0">
                  <c:v>郑州占比</c:v>
                </c:pt>
              </c:strCache>
            </c:strRef>
          </c:tx>
          <c:spPr>
            <a:solidFill>
              <a:schemeClr val="accent2"/>
            </a:solidFill>
            <a:ln>
              <a:noFill/>
            </a:ln>
            <a:effectLst/>
          </c:spPr>
          <c:invertIfNegative val="0"/>
          <c:dLbls>
            <c:dLbl>
              <c:idx val="2"/>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[郑州.xlsx]专题D!$A$27:$A$31</c:f>
              <c:strCache>
                <c:ptCount val="5"/>
                <c:pt idx="0">
                  <c:v>非常满意</c:v>
                </c:pt>
                <c:pt idx="1">
                  <c:v>满意</c:v>
                </c:pt>
                <c:pt idx="2">
                  <c:v>一般</c:v>
                </c:pt>
                <c:pt idx="3">
                  <c:v>不满意</c:v>
                </c:pt>
                <c:pt idx="4">
                  <c:v>非常不满意</c:v>
                </c:pt>
              </c:strCache>
            </c:strRef>
          </c:cat>
          <c:val>
            <c:numRef>
              <c:f>[郑州.xlsx]专题D!$C$27:$C$31</c:f>
              <c:numCache>
                <c:formatCode>0.00%</c:formatCode>
                <c:ptCount val="5"/>
                <c:pt idx="0">
                  <c:v>0.1029</c:v>
                </c:pt>
                <c:pt idx="1">
                  <c:v>0.3529</c:v>
                </c:pt>
                <c:pt idx="2">
                  <c:v>0.4559</c:v>
                </c:pt>
                <c:pt idx="3">
                  <c:v>0.0588</c:v>
                </c:pt>
                <c:pt idx="4">
                  <c:v>0.0294</c:v>
                </c:pt>
              </c:numCache>
            </c:numRef>
          </c:val>
        </c:ser>
        <c:ser>
          <c:idx val="3"/>
          <c:order val="3"/>
          <c:tx>
            <c:strRef>
              <c:f>[郑州.xlsx]专题D!$E$26</c:f>
              <c:strCache>
                <c:ptCount val="1"/>
                <c:pt idx="0">
                  <c:v>河南占比</c:v>
                </c:pt>
              </c:strCache>
            </c:strRef>
          </c:tx>
          <c:spPr>
            <a:solidFill>
              <a:schemeClr val="accent1"/>
            </a:solidFill>
            <a:ln>
              <a:noFill/>
            </a:ln>
            <a:effectLst/>
          </c:spPr>
          <c:invertIfNegative val="0"/>
          <c:dLbls>
            <c:dLbl>
              <c:idx val="1"/>
              <c:layout>
                <c:manualLayout>
                  <c:x val="0.00916666666666667"/>
                  <c:y val="-0.00393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4722222222222"/>
                  <c:y val="-0.0078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4722222222222"/>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[郑州.xlsx]专题D!$A$27:$A$31</c:f>
              <c:strCache>
                <c:ptCount val="5"/>
                <c:pt idx="0">
                  <c:v>非常满意</c:v>
                </c:pt>
                <c:pt idx="1">
                  <c:v>满意</c:v>
                </c:pt>
                <c:pt idx="2">
                  <c:v>一般</c:v>
                </c:pt>
                <c:pt idx="3">
                  <c:v>不满意</c:v>
                </c:pt>
                <c:pt idx="4">
                  <c:v>非常不满意</c:v>
                </c:pt>
              </c:strCache>
            </c:strRef>
          </c:cat>
          <c:val>
            <c:numRef>
              <c:f>[郑州.xlsx]专题D!$E$27:$E$31</c:f>
              <c:numCache>
                <c:formatCode>0.00%</c:formatCode>
                <c:ptCount val="5"/>
                <c:pt idx="0">
                  <c:v>0.1567</c:v>
                </c:pt>
                <c:pt idx="1">
                  <c:v>0.2995</c:v>
                </c:pt>
                <c:pt idx="2">
                  <c:v>0.4608</c:v>
                </c:pt>
                <c:pt idx="3">
                  <c:v>0.0645</c:v>
                </c:pt>
                <c:pt idx="4">
                  <c:v>0.0184</c:v>
                </c:pt>
              </c:numCache>
            </c:numRef>
          </c:val>
        </c:ser>
        <c:dLbls>
          <c:showLegendKey val="0"/>
          <c:showVal val="1"/>
          <c:showCatName val="0"/>
          <c:showSerName val="0"/>
          <c:showPercent val="0"/>
          <c:showBubbleSize val="0"/>
        </c:dLbls>
        <c:gapWidth val="219"/>
        <c:overlap val="-27"/>
        <c:axId val="496205296"/>
        <c:axId val="496202496"/>
        <c:extLst>
          <c:ext xmlns:c15="http://schemas.microsoft.com/office/drawing/2012/chart" uri="{02D57815-91ED-43cb-92C2-25804820EDAC}">
            <c15:filteredBarSeries>
              <c15:ser>
                <c:idx val="0"/>
                <c:order val="0"/>
                <c:tx>
                  <c:strRef>
                    <c:extLst>
                      <c:ext uri="{02D57815-91ED-43cb-92C2-25804820EDAC}">
                        <c15:formulaRef>
                          <c15:sqref>[郑州.xlsx]专题D!$B$26</c15:sqref>
                        </c15:formulaRef>
                      </c:ext>
                    </c:extLst>
                    <c:strCache>
                      <c:ptCount val="1"/>
                      <c:pt idx="0">
                        <c:v>郑州数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[郑州.xlsx]专题D!$A$27:$A$31</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{7,24,31,4,2}</c15:sqref>
                        </c15:formulaRef>
                      </c:ext>
                    </c:extLst>
                    <c:numCache>
                      <c:formatCode>General</c:formatCode>
                      <c:ptCount val="5"/>
                      <c:pt idx="0">
                        <c:v>7</c:v>
                      </c:pt>
                      <c:pt idx="1">
                        <c:v>24</c:v>
                      </c:pt>
                      <c:pt idx="2">
                        <c:v>31</c:v>
                      </c:pt>
                      <c:pt idx="3">
                        <c:v>4</c:v>
                      </c:pt>
                      <c:pt idx="4">
                        <c:v>2</c:v>
                      </c:pt>
                    </c:numCache>
                  </c:numRef>
                </c:val>
              </c15:ser>
            </c15:filteredBarSeries>
            <c15:filteredBarSeries>
              <c15:ser>
                <c:idx val="2"/>
                <c:order val="2"/>
                <c:tx>
                  <c:strRef>
                    <c:extLst>
                      <c:ext uri="{02D57815-91ED-43cb-92C2-25804820EDAC}">
                        <c15:formulaRef>
                          <c15:sqref>[郑州.xlsx]专题D!$D$26</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[郑州.xlsx]专题D!$A$27:$A$31</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{34,65,100,14,4}</c15:sqref>
                        </c15:formulaRef>
                      </c:ext>
                    </c:extLst>
                    <c:numCache>
                      <c:formatCode>General</c:formatCode>
                      <c:ptCount val="5"/>
                      <c:pt idx="0">
                        <c:v>34</c:v>
                      </c:pt>
                      <c:pt idx="1">
                        <c:v>65</c:v>
                      </c:pt>
                      <c:pt idx="2">
                        <c:v>100</c:v>
                      </c:pt>
                      <c:pt idx="3">
                        <c:v>14</c:v>
                      </c:pt>
                      <c:pt idx="4">
                        <c:v>4</c:v>
                      </c:pt>
                    </c:numCache>
                  </c:numRef>
                </c:val>
              </c15:ser>
            </c15:filteredBarSeries>
          </c:ext>
        </c:extLst>
      </c:barChart>
      <c:catAx>
        <c:axId val="49620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02496"/>
        <c:crosses val="autoZero"/>
        <c:auto val="1"/>
        <c:lblAlgn val="ctr"/>
        <c:lblOffset val="100"/>
        <c:noMultiLvlLbl val="0"/>
      </c:catAx>
      <c:valAx>
        <c:axId val="49620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0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[郑州.xlsx]专题D!$A$36:$A$41</c:f>
              <c:strCache>
                <c:ptCount val="6"/>
                <c:pt idx="0">
                  <c:v>其他</c:v>
                </c:pt>
                <c:pt idx="1">
                  <c:v>经费管理</c:v>
                </c:pt>
                <c:pt idx="2">
                  <c:v>立项评选</c:v>
                </c:pt>
                <c:pt idx="3">
                  <c:v>成果管理</c:v>
                </c:pt>
                <c:pt idx="4">
                  <c:v>课题规划</c:v>
                </c:pt>
                <c:pt idx="5">
                  <c:v>项目管理</c:v>
                </c:pt>
              </c:strCache>
            </c:strRef>
          </c:cat>
          <c:val>
            <c:numRef>
              <c:f>[郑州.xlsx]专题D!$B$36:$B$41</c:f>
              <c:numCache>
                <c:formatCode>0.00%</c:formatCode>
                <c:ptCount val="6"/>
                <c:pt idx="0">
                  <c:v>0.1176</c:v>
                </c:pt>
                <c:pt idx="1">
                  <c:v>0.4118</c:v>
                </c:pt>
                <c:pt idx="2">
                  <c:v>0.4265</c:v>
                </c:pt>
                <c:pt idx="3" c:formatCode="0%">
                  <c:v>0.5</c:v>
                </c:pt>
                <c:pt idx="4">
                  <c:v>0.5294</c:v>
                </c:pt>
                <c:pt idx="5">
                  <c:v>0.5294</c:v>
                </c:pt>
              </c:numCache>
            </c:numRef>
          </c:val>
        </c:ser>
        <c:dLbls>
          <c:showLegendKey val="0"/>
          <c:showVal val="0"/>
          <c:showCatName val="0"/>
          <c:showSerName val="0"/>
          <c:showPercent val="0"/>
          <c:showBubbleSize val="0"/>
        </c:dLbls>
        <c:gapWidth val="182"/>
        <c:axId val="490324688"/>
        <c:axId val="490334768"/>
      </c:barChart>
      <c:catAx>
        <c:axId val="490324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334768"/>
        <c:crosses val="autoZero"/>
        <c:auto val="1"/>
        <c:lblAlgn val="ctr"/>
        <c:lblOffset val="100"/>
        <c:noMultiLvlLbl val="0"/>
      </c:catAx>
      <c:valAx>
        <c:axId val="490334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32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[郑州.xlsx]专题D!$B$45</c:f>
              <c:strCache>
                <c:ptCount val="1"/>
                <c:pt idx="0">
                  <c:v>郑州占比</c:v>
                </c:pt>
              </c:strCache>
            </c:strRef>
          </c:tx>
          <c:spPr>
            <a:solidFill>
              <a:schemeClr val="accent1"/>
            </a:solidFill>
            <a:ln>
              <a:noFill/>
            </a:ln>
            <a:effectLst/>
          </c:spPr>
          <c:invertIfNegative val="0"/>
          <c:dLbls>
            <c:dLbl>
              <c:idx val="1"/>
              <c:layout>
                <c:manualLayout>
                  <c:x val="-0.0184722222222222"/>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[郑州.xlsx]专题D!$A$46:$A$50</c:f>
              <c:strCache>
                <c:ptCount val="5"/>
                <c:pt idx="0">
                  <c:v>非常满意</c:v>
                </c:pt>
                <c:pt idx="1">
                  <c:v>满意</c:v>
                </c:pt>
                <c:pt idx="2">
                  <c:v>一般</c:v>
                </c:pt>
                <c:pt idx="3">
                  <c:v>不满意</c:v>
                </c:pt>
                <c:pt idx="4">
                  <c:v>非常不满意</c:v>
                </c:pt>
              </c:strCache>
            </c:strRef>
          </c:cat>
          <c:val>
            <c:numRef>
              <c:f>[郑州.xlsx]专题D!$B$46:$B$50</c:f>
              <c:numCache>
                <c:formatCode>0.00%</c:formatCode>
                <c:ptCount val="5"/>
                <c:pt idx="0">
                  <c:v>0.1765</c:v>
                </c:pt>
                <c:pt idx="1">
                  <c:v>0.3088</c:v>
                </c:pt>
                <c:pt idx="2">
                  <c:v>0.4412</c:v>
                </c:pt>
                <c:pt idx="3">
                  <c:v>0.0588</c:v>
                </c:pt>
                <c:pt idx="4">
                  <c:v>0.0147</c:v>
                </c:pt>
              </c:numCache>
            </c:numRef>
          </c:val>
        </c:ser>
        <c:ser>
          <c:idx val="3"/>
          <c:order val="3"/>
          <c:tx>
            <c:strRef>
              <c:f>[郑州.xlsx]专题D!$E$45</c:f>
              <c:strCache>
                <c:ptCount val="1"/>
                <c:pt idx="0">
                  <c:v>河南占比</c:v>
                </c:pt>
              </c:strCache>
            </c:strRef>
          </c:tx>
          <c:spPr>
            <a:solidFill>
              <a:schemeClr val="accent2"/>
            </a:solidFill>
            <a:ln>
              <a:noFill/>
            </a:ln>
            <a:effectLst/>
          </c:spPr>
          <c:invertIfNegative val="0"/>
          <c:dLbls>
            <c:dLbl>
              <c:idx val="0"/>
              <c:layout>
                <c:manualLayout>
                  <c:x val="0.0208333333333333"/>
                  <c:y val="0.0310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888888888889"/>
                  <c:y val="0.01550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[郑州.xlsx]专题D!$A$46:$A$50</c:f>
              <c:strCache>
                <c:ptCount val="5"/>
                <c:pt idx="0">
                  <c:v>非常满意</c:v>
                </c:pt>
                <c:pt idx="1">
                  <c:v>满意</c:v>
                </c:pt>
                <c:pt idx="2">
                  <c:v>一般</c:v>
                </c:pt>
                <c:pt idx="3">
                  <c:v>不满意</c:v>
                </c:pt>
                <c:pt idx="4">
                  <c:v>非常不满意</c:v>
                </c:pt>
              </c:strCache>
            </c:strRef>
          </c:cat>
          <c:val>
            <c:numRef>
              <c:f>[郑州.xlsx]专题D!$E$46:$E$50</c:f>
              <c:numCache>
                <c:formatCode>0.00%</c:formatCode>
                <c:ptCount val="5"/>
                <c:pt idx="0">
                  <c:v>0.1743</c:v>
                </c:pt>
                <c:pt idx="1">
                  <c:v>0.3303</c:v>
                </c:pt>
                <c:pt idx="2">
                  <c:v>0.4128</c:v>
                </c:pt>
                <c:pt idx="3">
                  <c:v>0.055</c:v>
                </c:pt>
                <c:pt idx="4">
                  <c:v>0.0275</c:v>
                </c:pt>
              </c:numCache>
            </c:numRef>
          </c:val>
        </c:ser>
        <c:dLbls>
          <c:showLegendKey val="0"/>
          <c:showVal val="1"/>
          <c:showCatName val="0"/>
          <c:showSerName val="0"/>
          <c:showPercent val="0"/>
          <c:showBubbleSize val="0"/>
        </c:dLbls>
        <c:gapWidth val="219"/>
        <c:overlap val="-27"/>
        <c:axId val="465962480"/>
        <c:axId val="378465616"/>
        <c:extLst>
          <c:ext xmlns:c15="http://schemas.microsoft.com/office/drawing/2012/chart" uri="{02D57815-91ED-43cb-92C2-25804820EDAC}">
            <c15:filteredBarSeries>
              <c15:ser>
                <c:idx val="1"/>
                <c:order val="1"/>
                <c:tx>
                  <c:strRef>
                    <c:extLst>
                      <c:ext uri="{02D57815-91ED-43cb-92C2-25804820EDAC}">
                        <c15:formulaRef>
                          <c15:sqref>[郑州.xlsx]专题D!$C$45</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[郑州.xlsx]专题D!$A$46:$A$50</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{12,21,30,4,1}</c15:sqref>
                        </c15:formulaRef>
                      </c:ext>
                    </c:extLst>
                    <c:numCache>
                      <c:formatCode>General</c:formatCode>
                      <c:ptCount val="5"/>
                      <c:pt idx="0">
                        <c:v>12</c:v>
                      </c:pt>
                      <c:pt idx="1">
                        <c:v>21</c:v>
                      </c:pt>
                      <c:pt idx="2">
                        <c:v>30</c:v>
                      </c:pt>
                      <c:pt idx="3">
                        <c:v>4</c:v>
                      </c:pt>
                      <c:pt idx="4">
                        <c:v>1</c:v>
                      </c:pt>
                    </c:numCache>
                  </c:numRef>
                </c:val>
              </c15:ser>
            </c15:filteredBarSeries>
            <c15:filteredBarSeries>
              <c15:ser>
                <c:idx val="2"/>
                <c:order val="2"/>
                <c:tx>
                  <c:strRef>
                    <c:extLst>
                      <c:ext uri="{02D57815-91ED-43cb-92C2-25804820EDAC}">
                        <c15:formulaRef>
                          <c15:sqref>[郑州.xlsx]专题D!$D$45</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[郑州.xlsx]专题D!$A$46:$A$50</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{38,72,90,12,6}</c15:sqref>
                        </c15:formulaRef>
                      </c:ext>
                    </c:extLst>
                    <c:numCache>
                      <c:formatCode>General</c:formatCode>
                      <c:ptCount val="5"/>
                      <c:pt idx="0">
                        <c:v>38</c:v>
                      </c:pt>
                      <c:pt idx="1">
                        <c:v>72</c:v>
                      </c:pt>
                      <c:pt idx="2">
                        <c:v>90</c:v>
                      </c:pt>
                      <c:pt idx="3">
                        <c:v>12</c:v>
                      </c:pt>
                      <c:pt idx="4">
                        <c:v>6</c:v>
                      </c:pt>
                    </c:numCache>
                  </c:numRef>
                </c:val>
              </c15:ser>
            </c15:filteredBarSeries>
          </c:ext>
        </c:extLst>
      </c:barChart>
      <c:catAx>
        <c:axId val="46596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465616"/>
        <c:crosses val="autoZero"/>
        <c:auto val="1"/>
        <c:lblAlgn val="ctr"/>
        <c:lblOffset val="100"/>
        <c:noMultiLvlLbl val="0"/>
      </c:catAx>
      <c:valAx>
        <c:axId val="378465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962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最常面对和处理的网络安全威胁分布图</a:t>
            </a:r>
          </a:p>
        </c:rich>
      </c:tx>
      <c:layout/>
      <c:overlay val="0"/>
      <c:spPr>
        <a:noFill/>
        <a:ln>
          <a:noFill/>
        </a:ln>
        <a:effectLst/>
      </c:spPr>
    </c:title>
    <c:autoTitleDeleted val="0"/>
    <c:plotArea>
      <c:layout/>
      <c:barChart>
        <c:barDir val="bar"/>
        <c:grouping val="clustered"/>
        <c:varyColors val="0"/>
        <c:ser>
          <c:idx val="0"/>
          <c:order val="0"/>
          <c:tx>
            <c:strRef>
              <c:f>[郑州.xlsx]主卷!$B$69</c:f>
              <c:strCache>
                <c:ptCount val="1"/>
                <c:pt idx="0">
                  <c:v>郑州占比</c:v>
                </c:pt>
              </c:strCache>
            </c:strRef>
          </c:tx>
          <c:spPr>
            <a:solidFill>
              <a:schemeClr val="tx2">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[郑州.xlsx]主卷!$A$70:$A$75</c:f>
              <c:strCache>
                <c:ptCount val="6"/>
                <c:pt idx="0">
                  <c:v>其他</c:v>
                </c:pt>
                <c:pt idx="1">
                  <c:v>不清楚</c:v>
                </c:pt>
                <c:pt idx="2">
                  <c:v>恶意网络资源</c:v>
                </c:pt>
                <c:pt idx="3">
                  <c:v>安全事件</c:v>
                </c:pt>
                <c:pt idx="4">
                  <c:v>安全隐患</c:v>
                </c:pt>
                <c:pt idx="5">
                  <c:v>恶意程序</c:v>
                </c:pt>
              </c:strCache>
            </c:strRef>
          </c:cat>
          <c:val>
            <c:numRef>
              <c:f>[郑州.xlsx]主卷!$B$70:$B$75</c:f>
              <c:numCache>
                <c:formatCode>0.00%</c:formatCode>
                <c:ptCount val="6"/>
                <c:pt idx="0">
                  <c:v>0.1272</c:v>
                </c:pt>
                <c:pt idx="1">
                  <c:v>0.2281</c:v>
                </c:pt>
                <c:pt idx="2">
                  <c:v>0.3288</c:v>
                </c:pt>
                <c:pt idx="3">
                  <c:v>0.3325</c:v>
                </c:pt>
                <c:pt idx="4">
                  <c:v>0.3344</c:v>
                </c:pt>
                <c:pt idx="5">
                  <c:v>0.346</c:v>
                </c:pt>
              </c:numCache>
            </c:numRef>
          </c:val>
        </c:ser>
        <c:ser>
          <c:idx val="3"/>
          <c:order val="3"/>
          <c:tx>
            <c:strRef>
              <c:f>[郑州.xlsx]主卷!$E$69</c:f>
              <c:strCache>
                <c:ptCount val="1"/>
                <c:pt idx="0">
                  <c:v>河南占比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[郑州.xlsx]主卷!$A$70:$A$75</c:f>
              <c:strCache>
                <c:ptCount val="6"/>
                <c:pt idx="0">
                  <c:v>其他</c:v>
                </c:pt>
                <c:pt idx="1">
                  <c:v>不清楚</c:v>
                </c:pt>
                <c:pt idx="2">
                  <c:v>恶意网络资源</c:v>
                </c:pt>
                <c:pt idx="3">
                  <c:v>安全事件</c:v>
                </c:pt>
                <c:pt idx="4">
                  <c:v>安全隐患</c:v>
                </c:pt>
                <c:pt idx="5">
                  <c:v>恶意程序</c:v>
                </c:pt>
              </c:strCache>
            </c:strRef>
          </c:cat>
          <c:val>
            <c:numRef>
              <c:f>[郑州.xlsx]主卷!$E$70:$E$75</c:f>
              <c:numCache>
                <c:formatCode>0.00%</c:formatCode>
                <c:ptCount val="6"/>
                <c:pt idx="0">
                  <c:v>0.1469</c:v>
                </c:pt>
                <c:pt idx="1">
                  <c:v>0.242</c:v>
                </c:pt>
                <c:pt idx="2">
                  <c:v>0.3179</c:v>
                </c:pt>
                <c:pt idx="3">
                  <c:v>0.3211</c:v>
                </c:pt>
                <c:pt idx="4">
                  <c:v>0.326</c:v>
                </c:pt>
                <c:pt idx="5">
                  <c:v>0.3384</c:v>
                </c:pt>
              </c:numCache>
            </c:numRef>
          </c:val>
        </c:ser>
        <c:dLbls>
          <c:showLegendKey val="0"/>
          <c:showVal val="1"/>
          <c:showCatName val="0"/>
          <c:showSerName val="0"/>
          <c:showPercent val="0"/>
          <c:showBubbleSize val="0"/>
        </c:dLbls>
        <c:gapWidth val="182"/>
        <c:axId val="218118960"/>
        <c:axId val="217849520"/>
        <c:extLst>
          <c:ext xmlns:c15="http://schemas.microsoft.com/office/drawing/2012/chart" uri="{02D57815-91ED-43cb-92C2-25804820EDAC}">
            <c15:filteredBarSeries>
              <c15:ser>
                <c:idx val="1"/>
                <c:order val="1"/>
                <c:tx>
                  <c:strRef>
                    <c:extLst>
                      <c:ext uri="{02D57815-91ED-43cb-92C2-25804820EDAC}">
                        <c15:formulaRef>
                          <c15:sqref>[郑州.xlsx]主卷!$C$69</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[郑州.xlsx]主卷!$A$70:$A$75</c15:sqref>
                        </c15:formulaRef>
                      </c:ext>
                    </c:extLst>
                    <c:strCache>
                      <c:ptCount val="6"/>
                      <c:pt idx="0">
                        <c:v>其他</c:v>
                      </c:pt>
                      <c:pt idx="1">
                        <c:v>不清楚</c:v>
                      </c:pt>
                      <c:pt idx="2">
                        <c:v>恶意网络资源</c:v>
                      </c:pt>
                      <c:pt idx="3">
                        <c:v>安全事件</c:v>
                      </c:pt>
                      <c:pt idx="4">
                        <c:v>安全隐患</c:v>
                      </c:pt>
                      <c:pt idx="5">
                        <c:v>恶意程序</c:v>
                      </c:pt>
                    </c:strCache>
                  </c:strRef>
                </c:cat>
                <c:val>
                  <c:numRef>
                    <c:extLst>
                      <c:ext uri="{02D57815-91ED-43cb-92C2-25804820EDAC}">
                        <c15:formulaRef>
                          <c15:sqref>{2963,5313,7657,7745,7789,8058}</c15:sqref>
                        </c15:formulaRef>
                      </c:ext>
                    </c:extLst>
                    <c:numCache>
                      <c:formatCode>General</c:formatCode>
                      <c:ptCount val="6"/>
                      <c:pt idx="0">
                        <c:v>2963</c:v>
                      </c:pt>
                      <c:pt idx="1">
                        <c:v>5313</c:v>
                      </c:pt>
                      <c:pt idx="2">
                        <c:v>7657</c:v>
                      </c:pt>
                      <c:pt idx="3">
                        <c:v>7745</c:v>
                      </c:pt>
                      <c:pt idx="4">
                        <c:v>7789</c:v>
                      </c:pt>
                      <c:pt idx="5">
                        <c:v>8058</c:v>
                      </c:pt>
                    </c:numCache>
                  </c:numRef>
                </c:val>
              </c15:ser>
            </c15:filteredBarSeries>
            <c15:filteredBarSeries>
              <c15:ser>
                <c:idx val="2"/>
                <c:order val="2"/>
                <c:tx>
                  <c:strRef>
                    <c:extLst>
                      <c:ext uri="{02D57815-91ED-43cb-92C2-25804820EDAC}">
                        <c15:formulaRef>
                          <c15:sqref>[郑州.xlsx]主卷!$D$69</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[郑州.xlsx]主卷!$A$70:$A$75</c15:sqref>
                        </c15:formulaRef>
                      </c:ext>
                    </c:extLst>
                    <c:strCache>
                      <c:ptCount val="6"/>
                      <c:pt idx="0">
                        <c:v>其他</c:v>
                      </c:pt>
                      <c:pt idx="1">
                        <c:v>不清楚</c:v>
                      </c:pt>
                      <c:pt idx="2">
                        <c:v>恶意网络资源</c:v>
                      </c:pt>
                      <c:pt idx="3">
                        <c:v>安全事件</c:v>
                      </c:pt>
                      <c:pt idx="4">
                        <c:v>安全隐患</c:v>
                      </c:pt>
                      <c:pt idx="5">
                        <c:v>恶意程序</c:v>
                      </c:pt>
                    </c:strCache>
                  </c:strRef>
                </c:cat>
                <c:val>
                  <c:numRef>
                    <c:extLst>
                      <c:ext uri="{02D57815-91ED-43cb-92C2-25804820EDAC}">
                        <c15:formulaRef>
                          <c15:sqref>{8175,13464,17692,17866,18141,18833}</c15:sqref>
                        </c15:formulaRef>
                      </c:ext>
                    </c:extLst>
                    <c:numCache>
                      <c:formatCode>General</c:formatCode>
                      <c:ptCount val="6"/>
                      <c:pt idx="0">
                        <c:v>8175</c:v>
                      </c:pt>
                      <c:pt idx="1">
                        <c:v>13464</c:v>
                      </c:pt>
                      <c:pt idx="2">
                        <c:v>17692</c:v>
                      </c:pt>
                      <c:pt idx="3">
                        <c:v>17866</c:v>
                      </c:pt>
                      <c:pt idx="4">
                        <c:v>18141</c:v>
                      </c:pt>
                      <c:pt idx="5">
                        <c:v>18833</c:v>
                      </c:pt>
                    </c:numCache>
                  </c:numRef>
                </c:val>
              </c15:ser>
            </c15:filteredBarSeries>
          </c:ext>
        </c:extLst>
      </c:barChart>
      <c:catAx>
        <c:axId val="2181189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849520"/>
        <c:crosses val="autoZero"/>
        <c:auto val="1"/>
        <c:lblAlgn val="ctr"/>
        <c:lblOffset val="100"/>
        <c:noMultiLvlLbl val="0"/>
      </c:catAx>
      <c:valAx>
        <c:axId val="2178495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118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网络安全科研成果转换感到不满意的地方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[郑州.xlsx]专题D!$A$55:$A$60</c:f>
              <c:strCache>
                <c:ptCount val="6"/>
                <c:pt idx="0">
                  <c:v>市场渠道</c:v>
                </c:pt>
                <c:pt idx="1">
                  <c:v>政策支持</c:v>
                </c:pt>
                <c:pt idx="2">
                  <c:v>成果保护</c:v>
                </c:pt>
                <c:pt idx="3">
                  <c:v>其他</c:v>
                </c:pt>
                <c:pt idx="4">
                  <c:v>管理机制</c:v>
                </c:pt>
                <c:pt idx="5">
                  <c:v>保障服务</c:v>
                </c:pt>
              </c:strCache>
            </c:strRef>
          </c:cat>
          <c:val>
            <c:numRef>
              <c:f>[郑州.xlsx]专题D!$B$55:$B$60</c:f>
              <c:numCache>
                <c:formatCode>0%</c:formatCode>
                <c:ptCount val="6"/>
                <c:pt idx="0">
                  <c:v>0.2</c:v>
                </c:pt>
                <c:pt idx="1">
                  <c:v>0.4</c:v>
                </c:pt>
                <c:pt idx="2">
                  <c:v>0.4</c:v>
                </c:pt>
                <c:pt idx="3">
                  <c:v>0.4</c:v>
                </c:pt>
                <c:pt idx="4">
                  <c:v>0.6</c:v>
                </c:pt>
                <c:pt idx="5">
                  <c:v>0.6</c:v>
                </c:pt>
              </c:numCache>
            </c:numRef>
          </c:val>
        </c:ser>
        <c:dLbls>
          <c:showLegendKey val="0"/>
          <c:showVal val="1"/>
          <c:showCatName val="0"/>
          <c:showSerName val="0"/>
          <c:showPercent val="0"/>
          <c:showBubbleSize val="0"/>
        </c:dLbls>
        <c:gapWidth val="182"/>
        <c:axId val="336747568"/>
        <c:axId val="472266992"/>
      </c:barChart>
      <c:catAx>
        <c:axId val="336747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6992"/>
        <c:crosses val="autoZero"/>
        <c:auto val="1"/>
        <c:lblAlgn val="ctr"/>
        <c:lblOffset val="100"/>
        <c:noMultiLvlLbl val="0"/>
      </c:catAx>
      <c:valAx>
        <c:axId val="472266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74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[郑州.xlsx]专题D!$A$65:$A$69</c:f>
              <c:strCache>
                <c:ptCount val="5"/>
                <c:pt idx="0">
                  <c:v>作为专业课程，只在信息类学院/研究室开设</c:v>
                </c:pt>
                <c:pt idx="1">
                  <c:v>作为通识课程开设，属于必修课程</c:v>
                </c:pt>
                <c:pt idx="2">
                  <c:v>没有开设</c:v>
                </c:pt>
                <c:pt idx="3">
                  <c:v>作为通识课程开设，属于选修课程</c:v>
                </c:pt>
                <c:pt idx="4">
                  <c:v>不了解情况</c:v>
                </c:pt>
              </c:strCache>
            </c:strRef>
          </c:cat>
          <c:val>
            <c:numRef>
              <c:f>[郑州.xlsx]专题D!$B$65:$B$69</c:f>
              <c:numCache>
                <c:formatCode>0.00%</c:formatCode>
                <c:ptCount val="5"/>
                <c:pt idx="0">
                  <c:v>0.1324</c:v>
                </c:pt>
                <c:pt idx="1">
                  <c:v>0.1912</c:v>
                </c:pt>
                <c:pt idx="2">
                  <c:v>0.1912</c:v>
                </c:pt>
                <c:pt idx="3">
                  <c:v>0.2206</c:v>
                </c:pt>
                <c:pt idx="4">
                  <c:v>0.2647</c:v>
                </c:pt>
              </c:numCache>
            </c:numRef>
          </c:val>
        </c:ser>
        <c:dLbls>
          <c:showLegendKey val="0"/>
          <c:showVal val="1"/>
          <c:showCatName val="0"/>
          <c:showSerName val="0"/>
          <c:showPercent val="0"/>
          <c:showBubbleSize val="0"/>
        </c:dLbls>
        <c:gapWidth val="182"/>
        <c:axId val="490671552"/>
        <c:axId val="490676592"/>
      </c:barChart>
      <c:catAx>
        <c:axId val="490671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676592"/>
        <c:crosses val="autoZero"/>
        <c:auto val="1"/>
        <c:lblAlgn val="ctr"/>
        <c:lblOffset val="100"/>
        <c:noMultiLvlLbl val="0"/>
      </c:catAx>
      <c:valAx>
        <c:axId val="4906765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67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[郑州.xlsx]专题D!$A$74:$A$80</c:f>
              <c:strCache>
                <c:ptCount val="7"/>
                <c:pt idx="0">
                  <c:v>其他</c:v>
                </c:pt>
                <c:pt idx="1">
                  <c:v>评价标准脱离实际</c:v>
                </c:pt>
                <c:pt idx="2">
                  <c:v>专业不对口</c:v>
                </c:pt>
                <c:pt idx="3">
                  <c:v>继续教育流于形式</c:v>
                </c:pt>
                <c:pt idx="4">
                  <c:v>任职资格管理不完善</c:v>
                </c:pt>
                <c:pt idx="5">
                  <c:v>实训环境不足</c:v>
                </c:pt>
                <c:pt idx="6">
                  <c:v>职称不完善，晋升渠道不畅</c:v>
                </c:pt>
              </c:strCache>
            </c:strRef>
          </c:cat>
          <c:val>
            <c:numRef>
              <c:f>[郑州.xlsx]专题D!$B$74:$B$80</c:f>
              <c:numCache>
                <c:formatCode>0.00%</c:formatCode>
                <c:ptCount val="7"/>
                <c:pt idx="0">
                  <c:v>0.1765</c:v>
                </c:pt>
                <c:pt idx="1">
                  <c:v>0.1912</c:v>
                </c:pt>
                <c:pt idx="2">
                  <c:v>0.3382</c:v>
                </c:pt>
                <c:pt idx="3">
                  <c:v>0.3529</c:v>
                </c:pt>
                <c:pt idx="4">
                  <c:v>0.3676</c:v>
                </c:pt>
                <c:pt idx="5">
                  <c:v>0.4412</c:v>
                </c:pt>
                <c:pt idx="6">
                  <c:v>0.4706</c:v>
                </c:pt>
              </c:numCache>
            </c:numRef>
          </c:val>
        </c:ser>
        <c:dLbls>
          <c:showLegendKey val="0"/>
          <c:showVal val="1"/>
          <c:showCatName val="0"/>
          <c:showSerName val="0"/>
          <c:showPercent val="0"/>
          <c:showBubbleSize val="0"/>
        </c:dLbls>
        <c:gapWidth val="182"/>
        <c:axId val="490677712"/>
        <c:axId val="490680512"/>
      </c:barChart>
      <c:catAx>
        <c:axId val="490677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680512"/>
        <c:crosses val="autoZero"/>
        <c:auto val="1"/>
        <c:lblAlgn val="ctr"/>
        <c:lblOffset val="100"/>
        <c:noMultiLvlLbl val="0"/>
      </c:catAx>
      <c:valAx>
        <c:axId val="490680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67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[郑州.xlsx]主卷!$B$79</c:f>
              <c:strCache>
                <c:ptCount val="1"/>
                <c:pt idx="0">
                  <c:v>郑州占比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[郑州.xlsx]主卷!$A$80:$A$90</c:f>
              <c:strCache>
                <c:ptCount val="11"/>
                <c:pt idx="0">
                  <c:v>物理环境影响</c:v>
                </c:pt>
                <c:pt idx="1">
                  <c:v>软硬件故障</c:v>
                </c:pt>
                <c:pt idx="2">
                  <c:v>其他</c:v>
                </c:pt>
                <c:pt idx="3">
                  <c:v>管理层缺乏安全意识</c:v>
                </c:pt>
                <c:pt idx="4">
                  <c:v>缺少对突发事件的对策和计划</c:v>
                </c:pt>
                <c:pt idx="5">
                  <c:v>内部威胁</c:v>
                </c:pt>
                <c:pt idx="6">
                  <c:v>网络安全人才和资金投入不足</c:v>
                </c:pt>
                <c:pt idx="7">
                  <c:v>员工缺乏安全培训</c:v>
                </c:pt>
                <c:pt idx="8">
                  <c:v>攻击威胁</c:v>
                </c:pt>
                <c:pt idx="9">
                  <c:v>对第三方与供应商管理不到位</c:v>
                </c:pt>
                <c:pt idx="10">
                  <c:v>缺少管理和风险评估机制</c:v>
                </c:pt>
              </c:strCache>
            </c:strRef>
          </c:cat>
          <c:val>
            <c:numRef>
              <c:f>[郑州.xlsx]主卷!$B$80:$B$90</c:f>
              <c:numCache>
                <c:formatCode>0.00%</c:formatCode>
                <c:ptCount val="11"/>
                <c:pt idx="0">
                  <c:v>0.0963</c:v>
                </c:pt>
                <c:pt idx="1">
                  <c:v>0.1714</c:v>
                </c:pt>
                <c:pt idx="2">
                  <c:v>0.1724</c:v>
                </c:pt>
                <c:pt idx="3">
                  <c:v>0.1826</c:v>
                </c:pt>
                <c:pt idx="4">
                  <c:v>0.1893</c:v>
                </c:pt>
                <c:pt idx="5">
                  <c:v>0.2022</c:v>
                </c:pt>
                <c:pt idx="6">
                  <c:v>0.2217</c:v>
                </c:pt>
                <c:pt idx="7">
                  <c:v>0.2791</c:v>
                </c:pt>
                <c:pt idx="8">
                  <c:v>0.309</c:v>
                </c:pt>
                <c:pt idx="9">
                  <c:v>0.3126</c:v>
                </c:pt>
                <c:pt idx="10">
                  <c:v>0.4508</c:v>
                </c:pt>
              </c:numCache>
            </c:numRef>
          </c:val>
        </c:ser>
        <c:ser>
          <c:idx val="3"/>
          <c:order val="3"/>
          <c:tx>
            <c:strRef>
              <c:f>[郑州.xlsx]主卷!$E$79</c:f>
              <c:strCache>
                <c:ptCount val="1"/>
                <c:pt idx="0">
                  <c:v>河南占比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[郑州.xlsx]主卷!$A$80:$A$90</c:f>
              <c:strCache>
                <c:ptCount val="11"/>
                <c:pt idx="0">
                  <c:v>物理环境影响</c:v>
                </c:pt>
                <c:pt idx="1">
                  <c:v>软硬件故障</c:v>
                </c:pt>
                <c:pt idx="2">
                  <c:v>其他</c:v>
                </c:pt>
                <c:pt idx="3">
                  <c:v>管理层缺乏安全意识</c:v>
                </c:pt>
                <c:pt idx="4">
                  <c:v>缺少对突发事件的对策和计划</c:v>
                </c:pt>
                <c:pt idx="5">
                  <c:v>内部威胁</c:v>
                </c:pt>
                <c:pt idx="6">
                  <c:v>网络安全人才和资金投入不足</c:v>
                </c:pt>
                <c:pt idx="7">
                  <c:v>员工缺乏安全培训</c:v>
                </c:pt>
                <c:pt idx="8">
                  <c:v>攻击威胁</c:v>
                </c:pt>
                <c:pt idx="9">
                  <c:v>对第三方与供应商管理不到位</c:v>
                </c:pt>
                <c:pt idx="10">
                  <c:v>缺少管理和风险评估机制</c:v>
                </c:pt>
              </c:strCache>
            </c:strRef>
          </c:cat>
          <c:val>
            <c:numRef>
              <c:f>[郑州.xlsx]主卷!$E$80:$E$90</c:f>
              <c:numCache>
                <c:formatCode>0.00%</c:formatCode>
                <c:ptCount val="11"/>
                <c:pt idx="0">
                  <c:v>0.096</c:v>
                </c:pt>
                <c:pt idx="1">
                  <c:v>0.1778</c:v>
                </c:pt>
                <c:pt idx="2">
                  <c:v>0.1998</c:v>
                </c:pt>
                <c:pt idx="3">
                  <c:v>0.1966</c:v>
                </c:pt>
                <c:pt idx="4">
                  <c:v>0.1969</c:v>
                </c:pt>
                <c:pt idx="5">
                  <c:v>0.2039</c:v>
                </c:pt>
                <c:pt idx="6">
                  <c:v>0.216</c:v>
                </c:pt>
                <c:pt idx="7">
                  <c:v>0.2723</c:v>
                </c:pt>
                <c:pt idx="8">
                  <c:v>0.3003</c:v>
                </c:pt>
                <c:pt idx="9">
                  <c:v>0.3161</c:v>
                </c:pt>
                <c:pt idx="10">
                  <c:v>0.4413</c:v>
                </c:pt>
              </c:numCache>
            </c:numRef>
          </c:val>
        </c:ser>
        <c:dLbls>
          <c:showLegendKey val="0"/>
          <c:showVal val="1"/>
          <c:showCatName val="0"/>
          <c:showSerName val="0"/>
          <c:showPercent val="0"/>
          <c:showBubbleSize val="0"/>
        </c:dLbls>
        <c:gapWidth val="182"/>
        <c:axId val="32953455"/>
        <c:axId val="25905828"/>
        <c:extLst>
          <c:ext xmlns:c15="http://schemas.microsoft.com/office/drawing/2012/chart" uri="{02D57815-91ED-43cb-92C2-25804820EDAC}">
            <c15:filteredBarSeries>
              <c15:ser>
                <c:idx val="1"/>
                <c:order val="1"/>
                <c:tx>
                  <c:strRef>
                    <c:extLst>
                      <c:ext uri="{02D57815-91ED-43cb-92C2-25804820EDAC}">
                        <c15:formulaRef>
                          <c15:sqref>[郑州.xlsx]主卷!$C$79</c15:sqref>
                        </c15:formulaRef>
                      </c:ext>
                    </c:extLst>
                    <c:strCache>
                      <c:ptCount val="1"/>
                      <c:pt idx="0">
                        <c:v>郑州数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[郑州.xlsx]主卷!$A$80:$A$90</c15:sqref>
                        </c15:formulaRef>
                      </c:ext>
                    </c:extLst>
                    <c:strCache>
                      <c:ptCount val="11"/>
                      <c:pt idx="0">
                        <c:v>物理环境影响</c:v>
                      </c:pt>
                      <c:pt idx="1">
                        <c:v>软硬件故障</c:v>
                      </c:pt>
                      <c:pt idx="2">
                        <c:v>其他</c:v>
                      </c:pt>
                      <c:pt idx="3">
                        <c:v>管理层缺乏安全意识</c:v>
                      </c:pt>
                      <c:pt idx="4">
                        <c:v>缺少对突发事件的对策和计划</c:v>
                      </c:pt>
                      <c:pt idx="5">
                        <c:v>内部威胁</c:v>
                      </c:pt>
                      <c:pt idx="6">
                        <c:v>网络安全人才和资金投入不足</c:v>
                      </c:pt>
                      <c:pt idx="7">
                        <c:v>员工缺乏安全培训</c:v>
                      </c:pt>
                      <c:pt idx="8">
                        <c:v>攻击威胁</c:v>
                      </c:pt>
                      <c:pt idx="9">
                        <c:v>对第三方与供应商管理不到位</c:v>
                      </c:pt>
                      <c:pt idx="10">
                        <c:v>缺少管理和风险评估机制</c:v>
                      </c:pt>
                    </c:strCache>
                  </c:strRef>
                </c:cat>
                <c:val>
                  <c:numRef>
                    <c:extLst>
                      <c:ext uri="{02D57815-91ED-43cb-92C2-25804820EDAC}">
                        <c15:formulaRef>
                          <c15:sqref>{2242,3993,4015,4253,4409,4709,5164,6501,7197,7281,10500}</c15:sqref>
                        </c15:formulaRef>
                      </c:ext>
                    </c:extLst>
                    <c:numCache>
                      <c:formatCode>General</c:formatCode>
                      <c:ptCount val="11"/>
                      <c:pt idx="0">
                        <c:v>2242</c:v>
                      </c:pt>
                      <c:pt idx="1">
                        <c:v>3993</c:v>
                      </c:pt>
                      <c:pt idx="2">
                        <c:v>4015</c:v>
                      </c:pt>
                      <c:pt idx="3">
                        <c:v>4253</c:v>
                      </c:pt>
                      <c:pt idx="4">
                        <c:v>4409</c:v>
                      </c:pt>
                      <c:pt idx="5">
                        <c:v>4709</c:v>
                      </c:pt>
                      <c:pt idx="6">
                        <c:v>5164</c:v>
                      </c:pt>
                      <c:pt idx="7">
                        <c:v>6501</c:v>
                      </c:pt>
                      <c:pt idx="8">
                        <c:v>7197</c:v>
                      </c:pt>
                      <c:pt idx="9">
                        <c:v>7281</c:v>
                      </c:pt>
                      <c:pt idx="10">
                        <c:v>10500</c:v>
                      </c:pt>
                    </c:numCache>
                  </c:numRef>
                </c:val>
              </c15:ser>
            </c15:filteredBarSeries>
            <c15:filteredBarSeries>
              <c15:ser>
                <c:idx val="2"/>
                <c:order val="2"/>
                <c:tx>
                  <c:strRef>
                    <c:extLst>
                      <c:ext uri="{02D57815-91ED-43cb-92C2-25804820EDAC}">
                        <c15:formulaRef>
                          <c15:sqref>[郑州.xlsx]主卷!$D$79</c15:sqref>
                        </c15:formulaRef>
                      </c:ext>
                    </c:extLst>
                    <c:strCache>
                      <c:ptCount val="1"/>
                      <c:pt idx="0">
                        <c:v>河南数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[郑州.xlsx]主卷!$A$80:$A$90</c15:sqref>
                        </c15:formulaRef>
                      </c:ext>
                    </c:extLst>
                    <c:strCache>
                      <c:ptCount val="11"/>
                      <c:pt idx="0">
                        <c:v>物理环境影响</c:v>
                      </c:pt>
                      <c:pt idx="1">
                        <c:v>软硬件故障</c:v>
                      </c:pt>
                      <c:pt idx="2">
                        <c:v>其他</c:v>
                      </c:pt>
                      <c:pt idx="3">
                        <c:v>管理层缺乏安全意识</c:v>
                      </c:pt>
                      <c:pt idx="4">
                        <c:v>缺少对突发事件的对策和计划</c:v>
                      </c:pt>
                      <c:pt idx="5">
                        <c:v>内部威胁</c:v>
                      </c:pt>
                      <c:pt idx="6">
                        <c:v>网络安全人才和资金投入不足</c:v>
                      </c:pt>
                      <c:pt idx="7">
                        <c:v>员工缺乏安全培训</c:v>
                      </c:pt>
                      <c:pt idx="8">
                        <c:v>攻击威胁</c:v>
                      </c:pt>
                      <c:pt idx="9">
                        <c:v>对第三方与供应商管理不到位</c:v>
                      </c:pt>
                      <c:pt idx="10">
                        <c:v>缺少管理和风险评估机制</c:v>
                      </c:pt>
                    </c:strCache>
                  </c:strRef>
                </c:cat>
                <c:val>
                  <c:numRef>
                    <c:extLst>
                      <c:ext uri="{02D57815-91ED-43cb-92C2-25804820EDAC}">
                        <c15:formulaRef>
                          <c15:sqref>{5343,9895,11117,10942,10954,11349,12022,15152,16710,17590,24558}</c15:sqref>
                        </c15:formulaRef>
                      </c:ext>
                    </c:extLst>
                    <c:numCache>
                      <c:formatCode>General</c:formatCode>
                      <c:ptCount val="11"/>
                      <c:pt idx="0">
                        <c:v>5343</c:v>
                      </c:pt>
                      <c:pt idx="1">
                        <c:v>9895</c:v>
                      </c:pt>
                      <c:pt idx="2">
                        <c:v>11117</c:v>
                      </c:pt>
                      <c:pt idx="3">
                        <c:v>10942</c:v>
                      </c:pt>
                      <c:pt idx="4">
                        <c:v>10954</c:v>
                      </c:pt>
                      <c:pt idx="5">
                        <c:v>11349</c:v>
                      </c:pt>
                      <c:pt idx="6">
                        <c:v>12022</c:v>
                      </c:pt>
                      <c:pt idx="7">
                        <c:v>15152</c:v>
                      </c:pt>
                      <c:pt idx="8">
                        <c:v>16710</c:v>
                      </c:pt>
                      <c:pt idx="9">
                        <c:v>17590</c:v>
                      </c:pt>
                      <c:pt idx="10">
                        <c:v>24558</c:v>
                      </c:pt>
                    </c:numCache>
                  </c:numRef>
                </c:val>
              </c15:ser>
            </c15:filteredBarSeries>
          </c:ext>
        </c:extLst>
      </c:barChart>
      <c:catAx>
        <c:axId val="329534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05828"/>
        <c:crosses val="autoZero"/>
        <c:auto val="1"/>
        <c:lblAlgn val="ctr"/>
        <c:lblOffset val="100"/>
        <c:noMultiLvlLbl val="0"/>
      </c:catAx>
      <c:valAx>
        <c:axId val="259058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53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64"/>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101</Pages>
  <Words>6322</Words>
  <Characters>36040</Characters>
  <Lines>300</Lines>
  <Paragraphs>84</Paragraphs>
  <TotalTime>3</TotalTime>
  <ScaleCrop>false</ScaleCrop>
  <LinksUpToDate>false</LinksUpToDate>
  <CharactersWithSpaces>42278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2020-09-09T08:03:00Z</dcterms:created>
  <dc:creator>高工</dc:creator>
  <cp:keywords>网络安全感、满意度、调查</cp:keywords>
  <cp:lastModifiedBy>珍珠</cp:lastModifiedBy>
  <cp:lastPrinted>2020-09-13T07:19:00Z</cp:lastPrinted>
  <dcterms:modified xsi:type="dcterms:W3CDTF">2020-09-24T06:42:13Z</dcterms:modified>
  <dc:title>2019年全国网民网络安全感满意度调查统计报告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