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adjustRightInd w:val="0"/>
        <w:snapToGrid w:val="0"/>
        <w:ind w:right="246" w:rightChars="117"/>
        <w:sectPr>
          <w:headerReference r:id="rId5" w:type="first"/>
          <w:footerReference r:id="rId8" w:type="first"/>
          <w:headerReference r:id="rId3" w:type="default"/>
          <w:footerReference r:id="rId6" w:type="default"/>
          <w:headerReference r:id="rId4" w:type="even"/>
          <w:footerReference r:id="rId7" w:type="even"/>
          <w:pgSz w:w="11900" w:h="16838"/>
          <w:pgMar w:top="1417" w:right="1134" w:bottom="1440" w:left="1417" w:header="454" w:footer="964" w:gutter="0"/>
          <w:pgNumType w:start="1"/>
          <w:cols w:space="0" w:num="1"/>
          <w:docGrid w:type="lines" w:linePitch="317" w:charSpace="0"/>
        </w:sectPr>
      </w:pPr>
      <w:bookmarkStart w:id="0" w:name="SectionMark0"/>
      <w:r>
        <mc:AlternateContent>
          <mc:Choice Requires="wps">
            <w:drawing>
              <wp:anchor distT="0" distB="0" distL="114300" distR="114300" simplePos="0" relativeHeight="251677696" behindDoc="0" locked="1" layoutInCell="1" allowOverlap="1">
                <wp:simplePos x="0" y="0"/>
                <wp:positionH relativeFrom="margin">
                  <wp:posOffset>3919220</wp:posOffset>
                </wp:positionH>
                <wp:positionV relativeFrom="margin">
                  <wp:posOffset>8269605</wp:posOffset>
                </wp:positionV>
                <wp:extent cx="434975" cy="263525"/>
                <wp:effectExtent l="0" t="0" r="3175" b="3175"/>
                <wp:wrapNone/>
                <wp:docPr id="20" name="fmFrame7"/>
                <wp:cNvGraphicFramePr/>
                <a:graphic xmlns:a="http://schemas.openxmlformats.org/drawingml/2006/main">
                  <a:graphicData uri="http://schemas.microsoft.com/office/word/2010/wordprocessingShape">
                    <wps:wsp>
                      <wps:cNvSpPr txBox="1"/>
                      <wps:spPr>
                        <a:xfrm>
                          <a:off x="0" y="0"/>
                          <a:ext cx="434975" cy="263525"/>
                        </a:xfrm>
                        <a:prstGeom prst="rect">
                          <a:avLst/>
                        </a:prstGeom>
                        <a:solidFill>
                          <a:srgbClr val="FFFFFF"/>
                        </a:solidFill>
                        <a:ln>
                          <a:noFill/>
                        </a:ln>
                      </wps:spPr>
                      <wps:txbx>
                        <w:txbxContent>
                          <w:p>
                            <w:pPr>
                              <w:pStyle w:val="46"/>
                              <w:spacing w:line="360" w:lineRule="exact"/>
                              <w:jc w:val="distribute"/>
                              <w:rPr>
                                <w:rFonts w:hAnsi="黑体" w:cs="黑体"/>
                                <w:spacing w:val="-6"/>
                                <w:w w:val="100"/>
                                <w:sz w:val="32"/>
                                <w:szCs w:val="32"/>
                              </w:rPr>
                            </w:pPr>
                            <w:r>
                              <w:rPr>
                                <w:rFonts w:hint="eastAsia" w:hAnsi="黑体" w:cs="黑体"/>
                                <w:spacing w:val="-6"/>
                                <w:w w:val="100"/>
                                <w:sz w:val="32"/>
                                <w:szCs w:val="32"/>
                              </w:rPr>
                              <w:t>发布</w:t>
                            </w:r>
                          </w:p>
                          <w:p>
                            <w:pPr>
                              <w:pStyle w:val="46"/>
                              <w:spacing w:line="360" w:lineRule="exact"/>
                              <w:jc w:val="distribute"/>
                              <w:rPr>
                                <w:rFonts w:hAnsi="黑体" w:cs="黑体"/>
                                <w:spacing w:val="-6"/>
                                <w:w w:val="100"/>
                                <w:sz w:val="32"/>
                                <w:szCs w:val="32"/>
                              </w:rPr>
                            </w:pPr>
                          </w:p>
                        </w:txbxContent>
                      </wps:txbx>
                      <wps:bodyPr lIns="0" tIns="0" rIns="0" bIns="0" upright="1"/>
                    </wps:wsp>
                  </a:graphicData>
                </a:graphic>
              </wp:anchor>
            </w:drawing>
          </mc:Choice>
          <mc:Fallback>
            <w:pict>
              <v:shape id="fmFrame7" o:spid="_x0000_s1026" o:spt="202" type="#_x0000_t202" style="position:absolute;left:0pt;margin-left:308.6pt;margin-top:651.15pt;height:20.75pt;width:34.25pt;mso-position-horizontal-relative:margin;mso-position-vertical-relative:margin;z-index:251677696;mso-width-relative:page;mso-height-relative:page;" fillcolor="#FFFFFF" filled="t" stroked="f" coordsize="21600,21600" o:gfxdata="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ayh3aAAAADQEAAA8AAAAAAAAAAQAgAAAAIgAAAGRycy9kb3ducmV2Lnht&#10;bFBLAQIUABQAAAAIAIdO4kBe1+bWvgEAAJgDAAAOAAAAAAAAAAEAIAAAACkBAABkcnMvZTJvRG9j&#10;LnhtbFBLBQYAAAAABgAGAFkBAABZBQAAAAA=&#10;">
                <v:fill on="t" focussize="0,0"/>
                <v:stroke on="f"/>
                <v:imagedata o:title=""/>
                <o:lock v:ext="edit" aspectratio="f"/>
                <v:textbox inset="0mm,0mm,0mm,0mm">
                  <w:txbxContent>
                    <w:p>
                      <w:pPr>
                        <w:pStyle w:val="46"/>
                        <w:spacing w:line="360" w:lineRule="exact"/>
                        <w:jc w:val="distribute"/>
                        <w:rPr>
                          <w:rFonts w:hAnsi="黑体" w:cs="黑体"/>
                          <w:spacing w:val="-6"/>
                          <w:w w:val="100"/>
                          <w:sz w:val="32"/>
                          <w:szCs w:val="32"/>
                        </w:rPr>
                      </w:pPr>
                      <w:r>
                        <w:rPr>
                          <w:rFonts w:hint="eastAsia" w:hAnsi="黑体" w:cs="黑体"/>
                          <w:spacing w:val="-6"/>
                          <w:w w:val="100"/>
                          <w:sz w:val="32"/>
                          <w:szCs w:val="32"/>
                        </w:rPr>
                        <w:t>发布</w:t>
                      </w:r>
                    </w:p>
                    <w:p>
                      <w:pPr>
                        <w:pStyle w:val="46"/>
                        <w:spacing w:line="360" w:lineRule="exact"/>
                        <w:jc w:val="distribute"/>
                        <w:rPr>
                          <w:rFonts w:hAnsi="黑体" w:cs="黑体"/>
                          <w:spacing w:val="-6"/>
                          <w:w w:val="100"/>
                          <w:sz w:val="32"/>
                          <w:szCs w:val="32"/>
                        </w:rPr>
                      </w:pPr>
                    </w:p>
                  </w:txbxContent>
                </v:textbox>
                <w10:anchorlock/>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15875</wp:posOffset>
                </wp:positionH>
                <wp:positionV relativeFrom="paragraph">
                  <wp:posOffset>7908925</wp:posOffset>
                </wp:positionV>
                <wp:extent cx="6102350" cy="0"/>
                <wp:effectExtent l="0" t="0" r="0" b="0"/>
                <wp:wrapNone/>
                <wp:docPr id="12" name="自选图形 451"/>
                <wp:cNvGraphicFramePr/>
                <a:graphic xmlns:a="http://schemas.openxmlformats.org/drawingml/2006/main">
                  <a:graphicData uri="http://schemas.microsoft.com/office/word/2010/wordprocessingShape">
                    <wps:wsp>
                      <wps:cNvCnPr/>
                      <wps:spPr>
                        <a:xfrm>
                          <a:off x="0" y="0"/>
                          <a:ext cx="6102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1" o:spid="_x0000_s1026" o:spt="32" type="#_x0000_t32" style="position:absolute;left:0pt;margin-left:1.25pt;margin-top:622.75pt;height:0pt;width:480.5pt;z-index:251676672;mso-width-relative:page;mso-height-relative:page;" filled="f" stroked="t" coordsize="21600,21600" o:gfxdata="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wdMpNYAAAALAQAADwAAAAAAAAABACAAAAAiAAAAZHJzL2Rvd25yZXYueG1sUEsB&#10;AhQAFAAAAAgAh07iQAhzqiH3AQAA5gMAAA4AAAAAAAAAAQAgAAAAJQ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-161925</wp:posOffset>
                </wp:positionH>
                <wp:positionV relativeFrom="paragraph">
                  <wp:posOffset>2297430</wp:posOffset>
                </wp:positionV>
                <wp:extent cx="6102350" cy="0"/>
                <wp:effectExtent l="0" t="0" r="0" b="0"/>
                <wp:wrapNone/>
                <wp:docPr id="11" name="自选图形 450"/>
                <wp:cNvGraphicFramePr/>
                <a:graphic xmlns:a="http://schemas.openxmlformats.org/drawingml/2006/main">
                  <a:graphicData uri="http://schemas.microsoft.com/office/word/2010/wordprocessingShape">
                    <wps:wsp>
                      <wps:cNvCnPr/>
                      <wps:spPr>
                        <a:xfrm>
                          <a:off x="0" y="0"/>
                          <a:ext cx="6102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0" o:spid="_x0000_s1026" o:spt="32" type="#_x0000_t32" style="position:absolute;left:0pt;margin-left:-12.75pt;margin-top:180.9pt;height:0pt;width:480.5pt;z-index:251675648;mso-width-relative:page;mso-height-relative:page;" filled="f" stroked="t" coordsize="21600,21600" o:gfxdata="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DeVPXAAAACwEAAA8AAAAAAAAAAQAgAAAAIgAAAGRycy9kb3ducmV2LnhtbFBLAQIU&#10;ABQAAAAIAIdO4kArLzst9AEAAOYDAAAOAAAAAAAAAAEAIAAAACY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2273300</wp:posOffset>
                </wp:positionV>
                <wp:extent cx="6121400" cy="0"/>
                <wp:effectExtent l="0" t="0" r="0" b="0"/>
                <wp:wrapNone/>
                <wp:docPr id="2"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 o:spid="_x0000_s1026" o:spt="20" style="position:absolute;left:0pt;margin-left:-11.25pt;margin-top:179pt;height:0pt;width:482pt;z-index:251666432;mso-width-relative:page;mso-height-relative:page;" filled="f" stroked="t" coordsize="21600,21600" o:gfxdata="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NRGa2AAAAAsBAAAP&#10;AAAAAAAAAAEAIAAAACIAAABkcnMvZG93bnJldi54bWxQSwECFAAUAAAACACHTuJA9bZi598BAADQ&#10;AwAADgAAAAAAAAABACAAAAAnAQAAZHJzL2Uyb0RvYy54bWxQSwUGAAAAAAYABgBZAQAAe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4624" behindDoc="0" locked="1" layoutInCell="1" allowOverlap="1">
                <wp:simplePos x="0" y="0"/>
                <wp:positionH relativeFrom="margin">
                  <wp:posOffset>1461770</wp:posOffset>
                </wp:positionH>
                <wp:positionV relativeFrom="margin">
                  <wp:posOffset>8079105</wp:posOffset>
                </wp:positionV>
                <wp:extent cx="2330450" cy="548640"/>
                <wp:effectExtent l="0" t="0" r="12700" b="3810"/>
                <wp:wrapNone/>
                <wp:docPr id="10" name="fmFrame7"/>
                <wp:cNvGraphicFramePr/>
                <a:graphic xmlns:a="http://schemas.openxmlformats.org/drawingml/2006/main">
                  <a:graphicData uri="http://schemas.microsoft.com/office/word/2010/wordprocessingShape">
                    <wps:wsp>
                      <wps:cNvSpPr txBox="1"/>
                      <wps:spPr>
                        <a:xfrm>
                          <a:off x="0" y="0"/>
                          <a:ext cx="2330450" cy="548640"/>
                        </a:xfrm>
                        <a:prstGeom prst="rect">
                          <a:avLst/>
                        </a:prstGeom>
                        <a:solidFill>
                          <a:srgbClr val="FFFFFF"/>
                        </a:solidFill>
                        <a:ln>
                          <a:noFill/>
                        </a:ln>
                      </wps:spPr>
                      <wps:txbx>
                        <w:txbxContent>
                          <w:p>
                            <w:pPr>
                              <w:pStyle w:val="46"/>
                              <w:spacing w:line="400" w:lineRule="exact"/>
                              <w:jc w:val="distribute"/>
                              <w:rPr>
                                <w:rFonts w:hAnsi="黑体" w:cs="黑体"/>
                                <w:spacing w:val="-6"/>
                                <w:w w:val="100"/>
                                <w:sz w:val="32"/>
                                <w:szCs w:val="32"/>
                              </w:rPr>
                            </w:pPr>
                            <w:r>
                              <w:rPr>
                                <w:rFonts w:hint="eastAsia" w:hAnsi="黑体" w:cs="黑体"/>
                                <w:spacing w:val="-6"/>
                                <w:w w:val="100"/>
                                <w:sz w:val="32"/>
                                <w:szCs w:val="32"/>
                              </w:rPr>
                              <w:t xml:space="preserve">北京网络空间安全协会    </w:t>
                            </w:r>
                          </w:p>
                          <w:p>
                            <w:pPr>
                              <w:pStyle w:val="46"/>
                              <w:spacing w:line="400" w:lineRule="exact"/>
                              <w:jc w:val="distribute"/>
                              <w:rPr>
                                <w:rFonts w:hAnsi="黑体" w:cs="黑体"/>
                                <w:spacing w:val="-6"/>
                                <w:w w:val="100"/>
                                <w:sz w:val="32"/>
                                <w:szCs w:val="32"/>
                              </w:rPr>
                            </w:pPr>
                            <w:r>
                              <w:rPr>
                                <w:rFonts w:hint="eastAsia" w:hAnsi="黑体" w:cs="黑体"/>
                                <w:spacing w:val="-6"/>
                                <w:w w:val="100"/>
                                <w:sz w:val="32"/>
                                <w:szCs w:val="32"/>
                              </w:rPr>
                              <w:t>广东省网络空间安全协会</w:t>
                            </w:r>
                          </w:p>
                          <w:p>
                            <w:pPr>
                              <w:pStyle w:val="46"/>
                              <w:spacing w:line="360" w:lineRule="exact"/>
                              <w:jc w:val="distribute"/>
                              <w:rPr>
                                <w:rFonts w:hAnsi="黑体" w:cs="黑体"/>
                                <w:spacing w:val="-6"/>
                                <w:w w:val="100"/>
                                <w:sz w:val="32"/>
                                <w:szCs w:val="32"/>
                              </w:rPr>
                            </w:pPr>
                          </w:p>
                          <w:p>
                            <w:pPr>
                              <w:pStyle w:val="46"/>
                              <w:spacing w:line="360" w:lineRule="exact"/>
                              <w:jc w:val="distribute"/>
                              <w:rPr>
                                <w:rFonts w:hAnsi="黑体" w:cs="黑体"/>
                                <w:spacing w:val="-6"/>
                                <w:w w:val="100"/>
                                <w:sz w:val="32"/>
                                <w:szCs w:val="32"/>
                              </w:rPr>
                            </w:pPr>
                          </w:p>
                        </w:txbxContent>
                      </wps:txbx>
                      <wps:bodyPr lIns="0" tIns="0" rIns="0" bIns="0" upright="1"/>
                    </wps:wsp>
                  </a:graphicData>
                </a:graphic>
              </wp:anchor>
            </w:drawing>
          </mc:Choice>
          <mc:Fallback>
            <w:pict>
              <v:shape id="fmFrame7" o:spid="_x0000_s1026" o:spt="202" type="#_x0000_t202" style="position:absolute;left:0pt;margin-left:115.1pt;margin-top:636.15pt;height:43.2pt;width:183.5pt;mso-position-horizontal-relative:margin;mso-position-vertical-relative:margin;z-index:251674624;mso-width-relative:page;mso-height-relative:page;" fillcolor="#FFFFFF" filled="t" stroked="f" coordsize="21600,21600" o:gfxdata="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NznPdoAAAANAQAADwAAAAAAAAABACAAAAAiAAAAZHJzL2Rvd25yZXYu&#10;eG1sUEsBAhQAFAAAAAgAh07iQGO3NPjAAQAAmQMAAA4AAAAAAAAAAQAgAAAAKQEAAGRycy9lMm9E&#10;b2MueG1sUEsFBgAAAAAGAAYAWQEAAFsFAAAAAA==&#10;">
                <v:fill on="t" focussize="0,0"/>
                <v:stroke on="f"/>
                <v:imagedata o:title=""/>
                <o:lock v:ext="edit" aspectratio="f"/>
                <v:textbox inset="0mm,0mm,0mm,0mm">
                  <w:txbxContent>
                    <w:p>
                      <w:pPr>
                        <w:pStyle w:val="46"/>
                        <w:spacing w:line="400" w:lineRule="exact"/>
                        <w:jc w:val="distribute"/>
                        <w:rPr>
                          <w:rFonts w:hAnsi="黑体" w:cs="黑体"/>
                          <w:spacing w:val="-6"/>
                          <w:w w:val="100"/>
                          <w:sz w:val="32"/>
                          <w:szCs w:val="32"/>
                        </w:rPr>
                      </w:pPr>
                      <w:r>
                        <w:rPr>
                          <w:rFonts w:hint="eastAsia" w:hAnsi="黑体" w:cs="黑体"/>
                          <w:spacing w:val="-6"/>
                          <w:w w:val="100"/>
                          <w:sz w:val="32"/>
                          <w:szCs w:val="32"/>
                        </w:rPr>
                        <w:t xml:space="preserve">北京网络空间安全协会    </w:t>
                      </w:r>
                    </w:p>
                    <w:p>
                      <w:pPr>
                        <w:pStyle w:val="46"/>
                        <w:spacing w:line="400" w:lineRule="exact"/>
                        <w:jc w:val="distribute"/>
                        <w:rPr>
                          <w:rFonts w:hAnsi="黑体" w:cs="黑体"/>
                          <w:spacing w:val="-6"/>
                          <w:w w:val="100"/>
                          <w:sz w:val="32"/>
                          <w:szCs w:val="32"/>
                        </w:rPr>
                      </w:pPr>
                      <w:r>
                        <w:rPr>
                          <w:rFonts w:hint="eastAsia" w:hAnsi="黑体" w:cs="黑体"/>
                          <w:spacing w:val="-6"/>
                          <w:w w:val="100"/>
                          <w:sz w:val="32"/>
                          <w:szCs w:val="32"/>
                        </w:rPr>
                        <w:t>广东省网络空间安全协会</w:t>
                      </w:r>
                    </w:p>
                    <w:p>
                      <w:pPr>
                        <w:pStyle w:val="46"/>
                        <w:spacing w:line="360" w:lineRule="exact"/>
                        <w:jc w:val="distribute"/>
                        <w:rPr>
                          <w:rFonts w:hAnsi="黑体" w:cs="黑体"/>
                          <w:spacing w:val="-6"/>
                          <w:w w:val="100"/>
                          <w:sz w:val="32"/>
                          <w:szCs w:val="32"/>
                        </w:rPr>
                      </w:pPr>
                    </w:p>
                    <w:p>
                      <w:pPr>
                        <w:pStyle w:val="46"/>
                        <w:spacing w:line="360" w:lineRule="exact"/>
                        <w:jc w:val="distribute"/>
                        <w:rPr>
                          <w:rFonts w:hAnsi="黑体" w:cs="黑体"/>
                          <w:spacing w:val="-6"/>
                          <w:w w:val="100"/>
                          <w:sz w:val="32"/>
                          <w:szCs w:val="32"/>
                        </w:rPr>
                      </w:pPr>
                    </w:p>
                  </w:txbxContent>
                </v:textbox>
                <w10:anchorlock/>
              </v:shape>
            </w:pict>
          </mc:Fallback>
        </mc:AlternateContent>
      </w:r>
      <w:r>
        <mc:AlternateContent>
          <mc:Choice Requires="wps">
            <w:drawing>
              <wp:anchor distT="0" distB="0" distL="114300" distR="114300" simplePos="0" relativeHeight="251673600" behindDoc="0" locked="1" layoutInCell="1" allowOverlap="1">
                <wp:simplePos x="0" y="0"/>
                <wp:positionH relativeFrom="margin">
                  <wp:posOffset>4100830</wp:posOffset>
                </wp:positionH>
                <wp:positionV relativeFrom="margin">
                  <wp:posOffset>7592060</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3"/>
                              <w:numPr>
                                <w:ilvl w:val="0"/>
                                <w:numId w:val="0"/>
                              </w:numPr>
                              <w:rPr>
                                <w:color w:val="000000"/>
                              </w:rPr>
                            </w:pPr>
                            <w:r>
                              <w:rPr>
                                <w:rFonts w:hint="eastAsia" w:ascii="黑体"/>
                                <w:color w:val="000000"/>
                              </w:rPr>
                              <w:t>202</w:t>
                            </w:r>
                            <w:r>
                              <w:rPr>
                                <w:rFonts w:ascii="黑体"/>
                                <w:color w:val="000000"/>
                              </w:rPr>
                              <w:t>2</w:t>
                            </w:r>
                            <w:r>
                              <w:rPr>
                                <w:rFonts w:hint="eastAsia" w:ascii="黑体"/>
                                <w:color w:val="000000"/>
                              </w:rPr>
                              <w:t>-1-1</w:t>
                            </w:r>
                            <w:r>
                              <w:rPr>
                                <w:rFonts w:hint="eastAsia"/>
                                <w:color w:val="000000"/>
                              </w:rPr>
                              <w:t>实施</w:t>
                            </w:r>
                          </w:p>
                        </w:txbxContent>
                      </wps:txbx>
                      <wps:bodyPr lIns="0" tIns="0" rIns="0" bIns="0" upright="1"/>
                    </wps:wsp>
                  </a:graphicData>
                </a:graphic>
              </wp:anchor>
            </w:drawing>
          </mc:Choice>
          <mc:Fallback>
            <w:pict>
              <v:shape id="fmFrame6" o:spid="_x0000_s1026" o:spt="202" type="#_x0000_t202" style="position:absolute;left:0pt;margin-left:322.9pt;margin-top:597.8pt;height:24.6pt;width:159pt;mso-position-horizontal-relative:margin;mso-position-vertical-relative:margin;z-index:251673600;mso-width-relative:page;mso-height-relative:page;" fillcolor="#FFFFFF" filled="t" stroked="f" coordsize="21600,21600" o:gfxdata="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4WRV/2wAAAA0BAAAPAAAAAAAAAAEAIAAAACIAAABkcnMvZG93bnJldi54&#10;bWxQSwECFAAUAAAACACHTuJApIaL/r4BAACYAwAADgAAAAAAAAABACAAAAAqAQAAZHJzL2Uyb0Rv&#10;Yy54bWxQSwUGAAAAAAYABgBZAQAAWgUAAAAA&#10;">
                <v:fill on="t" focussize="0,0"/>
                <v:stroke on="f"/>
                <v:imagedata o:title=""/>
                <o:lock v:ext="edit" aspectratio="f"/>
                <v:textbox inset="0mm,0mm,0mm,0mm">
                  <w:txbxContent>
                    <w:p>
                      <w:pPr>
                        <w:pStyle w:val="43"/>
                        <w:numPr>
                          <w:ilvl w:val="0"/>
                          <w:numId w:val="0"/>
                        </w:numPr>
                        <w:rPr>
                          <w:color w:val="000000"/>
                        </w:rPr>
                      </w:pPr>
                      <w:r>
                        <w:rPr>
                          <w:rFonts w:hint="eastAsia" w:ascii="黑体"/>
                          <w:color w:val="000000"/>
                        </w:rPr>
                        <w:t>202</w:t>
                      </w:r>
                      <w:r>
                        <w:rPr>
                          <w:rFonts w:ascii="黑体"/>
                          <w:color w:val="000000"/>
                        </w:rPr>
                        <w:t>2</w:t>
                      </w:r>
                      <w:r>
                        <w:rPr>
                          <w:rFonts w:hint="eastAsia" w:ascii="黑体"/>
                          <w:color w:val="000000"/>
                        </w:rPr>
                        <w:t>-1-1</w:t>
                      </w:r>
                      <w:r>
                        <w:rPr>
                          <w:rFonts w:hint="eastAsia"/>
                          <w:color w:val="000000"/>
                        </w:rPr>
                        <w:t>实施</w:t>
                      </w:r>
                    </w:p>
                  </w:txbxContent>
                </v:textbox>
                <w10:anchorlock/>
              </v:shape>
            </w:pict>
          </mc:Fallback>
        </mc:AlternateContent>
      </w:r>
      <w:r>
        <mc:AlternateContent>
          <mc:Choice Requires="wps">
            <w:drawing>
              <wp:anchor distT="0" distB="0" distL="114300" distR="114300" simplePos="0" relativeHeight="251672576" behindDoc="0" locked="1" layoutInCell="1" allowOverlap="1">
                <wp:simplePos x="0" y="0"/>
                <wp:positionH relativeFrom="margin">
                  <wp:posOffset>9525</wp:posOffset>
                </wp:positionH>
                <wp:positionV relativeFrom="margin">
                  <wp:posOffset>7544435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4"/>
                              <w:rPr>
                                <w:color w:val="000000"/>
                              </w:rPr>
                            </w:pPr>
                            <w:r>
                              <w:rPr>
                                <w:rFonts w:hint="eastAsia" w:ascii="黑体"/>
                                <w:color w:val="000000"/>
                              </w:rPr>
                              <w:t>2021-</w:t>
                            </w:r>
                            <w:r>
                              <w:rPr>
                                <w:rFonts w:ascii="黑体"/>
                                <w:color w:val="000000"/>
                              </w:rPr>
                              <w:t>12</w:t>
                            </w:r>
                            <w:r>
                              <w:rPr>
                                <w:rFonts w:hint="eastAsia" w:ascii="黑体"/>
                                <w:color w:val="000000"/>
                              </w:rPr>
                              <w:t>-</w:t>
                            </w:r>
                            <w:r>
                              <w:rPr>
                                <w:rFonts w:ascii="黑体"/>
                                <w:color w:val="000000"/>
                              </w:rPr>
                              <w:t>30</w:t>
                            </w:r>
                            <w:r>
                              <w:rPr>
                                <w:rFonts w:hint="eastAsia"/>
                                <w:color w:val="000000"/>
                              </w:rPr>
                              <w:t>发布</w:t>
                            </w:r>
                          </w:p>
                        </w:txbxContent>
                      </wps:txbx>
                      <wps:bodyPr lIns="0" tIns="0" rIns="0" bIns="0" upright="1"/>
                    </wps:wsp>
                  </a:graphicData>
                </a:graphic>
              </wp:anchor>
            </w:drawing>
          </mc:Choice>
          <mc:Fallback>
            <w:pict>
              <v:shape id="fmFrame5" o:spid="_x0000_s1026" o:spt="202" type="#_x0000_t202" style="position:absolute;left:0pt;margin-left:0.75pt;margin-top:594.05pt;height:24.6pt;width:159pt;mso-position-horizontal-relative:margin;mso-position-vertical-relative:margin;z-index:251672576;mso-width-relative:page;mso-height-relative:page;" fillcolor="#FFFFFF" filled="t" stroked="f" coordsize="21600,21600" o:gfxdata="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520IdkAAAALAQAADwAAAAAAAAABACAAAAAiAAAAZHJzL2Rvd25yZXYueG1s&#10;UEsBAhQAFAAAAAgAh07iQA1dwOO+AQAAmAMAAA4AAAAAAAAAAQAgAAAAKAEAAGRycy9lMm9Eb2Mu&#10;eG1sUEsFBgAAAAAGAAYAWQEAAFgFAAAAAA==&#10;">
                <v:fill on="t" focussize="0,0"/>
                <v:stroke on="f"/>
                <v:imagedata o:title=""/>
                <o:lock v:ext="edit" aspectratio="f"/>
                <v:textbox inset="0mm,0mm,0mm,0mm">
                  <w:txbxContent>
                    <w:p>
                      <w:pPr>
                        <w:pStyle w:val="44"/>
                        <w:rPr>
                          <w:color w:val="000000"/>
                        </w:rPr>
                      </w:pPr>
                      <w:r>
                        <w:rPr>
                          <w:rFonts w:hint="eastAsia" w:ascii="黑体"/>
                          <w:color w:val="000000"/>
                        </w:rPr>
                        <w:t>2021-</w:t>
                      </w:r>
                      <w:r>
                        <w:rPr>
                          <w:rFonts w:ascii="黑体"/>
                          <w:color w:val="000000"/>
                        </w:rPr>
                        <w:t>12</w:t>
                      </w:r>
                      <w:r>
                        <w:rPr>
                          <w:rFonts w:hint="eastAsia" w:ascii="黑体"/>
                          <w:color w:val="000000"/>
                        </w:rPr>
                        <w:t>-</w:t>
                      </w:r>
                      <w:r>
                        <w:rPr>
                          <w:rFonts w:ascii="黑体"/>
                          <w:color w:val="000000"/>
                        </w:rPr>
                        <w:t>30</w:t>
                      </w:r>
                      <w:r>
                        <w:rPr>
                          <w:rFonts w:hint="eastAsia"/>
                          <w:color w:val="000000"/>
                        </w:rPr>
                        <w:t>发布</w:t>
                      </w:r>
                    </w:p>
                  </w:txbxContent>
                </v:textbox>
                <w10:anchorlock/>
              </v:shap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7"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1"/>
                              <w:rPr>
                                <w:b/>
                              </w:rPr>
                            </w:pPr>
                            <w:r>
                              <w:rPr>
                                <w:rFonts w:hint="eastAsia"/>
                                <w:b/>
                              </w:rPr>
                              <w:t>I</w:t>
                            </w:r>
                            <w:r>
                              <w:rPr>
                                <w:b/>
                              </w:rPr>
                              <w:t>CS</w:t>
                            </w:r>
                            <w:r>
                              <w:rPr>
                                <w:rFonts w:hint="eastAsia"/>
                                <w:b/>
                              </w:rPr>
                              <w:t xml:space="preserve">  </w:t>
                            </w:r>
                          </w:p>
                          <w:p>
                            <w:pPr>
                              <w:pStyle w:val="51"/>
                            </w:pPr>
                            <w:r>
                              <w:rPr>
                                <w:rFonts w:hint="eastAsia"/>
                              </w:rPr>
                              <w:t>中国标准文献分类号：</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71552;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Xsy+DTAAAABQEAAA8AAAAAAAAAAQAgAAAAIgAAAGRycy9kb3ducmV2LnhtbFBLAQIU&#10;ABQAAAAIAIdO4kDKqgzevwEAAJgDAAAOAAAAAAAAAAEAIAAAACIBAABkcnMvZTJvRG9jLnhtbFBL&#10;BQYAAAAABgAGAFkBAABTBQAAAAA=&#10;">
                <v:fill on="t" focussize="0,0"/>
                <v:stroke on="f"/>
                <v:imagedata o:title=""/>
                <o:lock v:ext="edit" aspectratio="f"/>
                <v:textbox inset="0mm,0mm,0mm,0mm">
                  <w:txbxContent>
                    <w:p>
                      <w:pPr>
                        <w:pStyle w:val="51"/>
                        <w:rPr>
                          <w:b/>
                        </w:rPr>
                      </w:pPr>
                      <w:r>
                        <w:rPr>
                          <w:rFonts w:hint="eastAsia"/>
                          <w:b/>
                        </w:rPr>
                        <w:t>I</w:t>
                      </w:r>
                      <w:r>
                        <w:rPr>
                          <w:b/>
                        </w:rPr>
                        <w:t>CS</w:t>
                      </w:r>
                      <w:r>
                        <w:rPr>
                          <w:rFonts w:hint="eastAsia"/>
                          <w:b/>
                        </w:rPr>
                        <w:t xml:space="preserve">  </w:t>
                      </w:r>
                    </w:p>
                    <w:p>
                      <w:pPr>
                        <w:pStyle w:val="51"/>
                      </w:pPr>
                      <w:r>
                        <w:rPr>
                          <w:rFonts w:hint="eastAsia"/>
                        </w:rPr>
                        <w:t>中国标准文献分类号：</w:t>
                      </w:r>
                    </w:p>
                  </w:txbxContent>
                </v:textbox>
                <w10:anchorlock/>
              </v:shape>
            </w:pict>
          </mc:Fallback>
        </mc:AlternateContent>
      </w:r>
      <w:r>
        <mc:AlternateContent>
          <mc:Choice Requires="wps">
            <w:drawing>
              <wp:anchor distT="0" distB="0" distL="114300" distR="114300" simplePos="0" relativeHeight="251670528"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6"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49"/>
                            </w:pP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7052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k7PNgAAAAKAQAADwAAAAAAAAABACAAAAAiAAAAZHJzL2Rvd25yZXYueG1s&#10;UEsBAhQAFAAAAAgAh07iQPAc53K/AQAAmAMAAA4AAAAAAAAAAQAgAAAAJwEAAGRycy9lMm9Eb2Mu&#10;eG1sUEsFBgAAAAAGAAYAWQEAAFgFAAAAAA==&#10;">
                <v:fill on="t" focussize="0,0"/>
                <v:stroke on="f"/>
                <v:imagedata o:title=""/>
                <o:lock v:ext="edit" aspectratio="f"/>
                <v:textbox inset="0mm,0mm,0mm,0mm">
                  <w:txbxContent>
                    <w:p>
                      <w:pPr>
                        <w:pStyle w:val="49"/>
                      </w:pPr>
                    </w:p>
                  </w:txbxContent>
                </v:textbox>
                <w10:anchorlock/>
              </v:shap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674370</wp:posOffset>
                </wp:positionH>
                <wp:positionV relativeFrom="margin">
                  <wp:posOffset>1010920</wp:posOffset>
                </wp:positionV>
                <wp:extent cx="4548505" cy="637540"/>
                <wp:effectExtent l="0" t="0" r="4445" b="10160"/>
                <wp:wrapNone/>
                <wp:docPr id="5" name="fmFrame2"/>
                <wp:cNvGraphicFramePr/>
                <a:graphic xmlns:a="http://schemas.openxmlformats.org/drawingml/2006/main">
                  <a:graphicData uri="http://schemas.microsoft.com/office/word/2010/wordprocessingShape">
                    <wps:wsp>
                      <wps:cNvSpPr txBox="1"/>
                      <wps:spPr>
                        <a:xfrm>
                          <a:off x="0" y="0"/>
                          <a:ext cx="4548505" cy="637540"/>
                        </a:xfrm>
                        <a:prstGeom prst="rect">
                          <a:avLst/>
                        </a:prstGeom>
                        <a:solidFill>
                          <a:srgbClr val="FFFFFF"/>
                        </a:solidFill>
                        <a:ln>
                          <a:noFill/>
                        </a:ln>
                      </wps:spPr>
                      <wps:txbx>
                        <w:txbxContent>
                          <w:p>
                            <w:pPr>
                              <w:pStyle w:val="40"/>
                              <w:rPr>
                                <w:sz w:val="84"/>
                                <w:szCs w:val="84"/>
                              </w:rPr>
                            </w:pPr>
                            <w:r>
                              <w:rPr>
                                <w:rFonts w:hint="eastAsia"/>
                                <w:sz w:val="84"/>
                                <w:szCs w:val="84"/>
                              </w:rPr>
                              <w:t>团体标准</w:t>
                            </w:r>
                          </w:p>
                        </w:txbxContent>
                      </wps:txbx>
                      <wps:bodyPr lIns="0" tIns="0" rIns="0" bIns="0" upright="1"/>
                    </wps:wsp>
                  </a:graphicData>
                </a:graphic>
              </wp:anchor>
            </w:drawing>
          </mc:Choice>
          <mc:Fallback>
            <w:pict>
              <v:shape id="fmFrame2" o:spid="_x0000_s1026" o:spt="202" type="#_x0000_t202" style="position:absolute;left:0pt;margin-left:53.1pt;margin-top:79.6pt;height:50.2pt;width:358.15pt;mso-position-horizontal-relative:margin;mso-position-vertical-relative:margin;z-index:251669504;mso-width-relative:page;mso-height-relative:page;" fillcolor="#FFFFFF" filled="t" stroked="f" coordsize="21600,21600" o:gfxdata="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sDr62QAAAAsBAAAPAAAAAAAAAAEAIAAAACIAAABkcnMvZG93bnJldi54&#10;bWxQSwECFAAUAAAACACHTuJAGqeOhMABAACYAwAADgAAAAAAAAABACAAAAAoAQAAZHJzL2Uyb0Rv&#10;Yy54bWxQSwUGAAAAAAYABgBZAQAAWgUAAAAA&#10;">
                <v:fill on="t" focussize="0,0"/>
                <v:stroke on="f"/>
                <v:imagedata o:title=""/>
                <o:lock v:ext="edit" aspectratio="f"/>
                <v:textbox inset="0mm,0mm,0mm,0mm">
                  <w:txbxContent>
                    <w:p>
                      <w:pPr>
                        <w:pStyle w:val="40"/>
                        <w:rPr>
                          <w:sz w:val="84"/>
                          <w:szCs w:val="84"/>
                        </w:rPr>
                      </w:pPr>
                      <w:r>
                        <w:rPr>
                          <w:rFonts w:hint="eastAsia"/>
                          <w:sz w:val="84"/>
                          <w:szCs w:val="84"/>
                        </w:rPr>
                        <w:t>团体标准</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-104775</wp:posOffset>
                </wp:positionH>
                <wp:positionV relativeFrom="margin">
                  <wp:posOffset>1401445</wp:posOffset>
                </wp:positionV>
                <wp:extent cx="6116320" cy="860425"/>
                <wp:effectExtent l="0" t="0" r="17780" b="15875"/>
                <wp:wrapNone/>
                <wp:docPr id="4" name="fmFrame3"/>
                <wp:cNvGraphicFramePr/>
                <a:graphic xmlns:a="http://schemas.openxmlformats.org/drawingml/2006/main">
                  <a:graphicData uri="http://schemas.microsoft.com/office/word/2010/wordprocessingShape">
                    <wps:wsp>
                      <wps:cNvSpPr txBox="1"/>
                      <wps:spPr>
                        <a:xfrm>
                          <a:off x="0" y="0"/>
                          <a:ext cx="6116320" cy="860425"/>
                        </a:xfrm>
                        <a:prstGeom prst="rect">
                          <a:avLst/>
                        </a:prstGeom>
                        <a:solidFill>
                          <a:srgbClr val="FFFFFF"/>
                        </a:solidFill>
                        <a:ln>
                          <a:noFill/>
                        </a:ln>
                      </wps:spPr>
                      <wps:txbx>
                        <w:txbxContent>
                          <w:p>
                            <w:pPr>
                              <w:pStyle w:val="45"/>
                              <w:rPr>
                                <w:rFonts w:eastAsia="黑体"/>
                                <w:b/>
                                <w:sz w:val="21"/>
                                <w:szCs w:val="21"/>
                              </w:rPr>
                            </w:pPr>
                          </w:p>
                          <w:p>
                            <w:pPr>
                              <w:pStyle w:val="45"/>
                              <w:jc w:val="center"/>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txbxContent>
                      </wps:txbx>
                      <wps:bodyPr lIns="0" tIns="0" rIns="0" bIns="0" upright="1"/>
                    </wps:wsp>
                  </a:graphicData>
                </a:graphic>
              </wp:anchor>
            </w:drawing>
          </mc:Choice>
          <mc:Fallback>
            <w:pict>
              <v:shape id="fmFrame3" o:spid="_x0000_s1026" o:spt="202" type="#_x0000_t202" style="position:absolute;left:0pt;margin-left:-8.25pt;margin-top:110.35pt;height:67.75pt;width:481.6pt;mso-position-horizontal-relative:margin;mso-position-vertical-relative:margin;z-index:251668480;mso-width-relative:page;mso-height-relative:page;" fillcolor="#FFFFFF" filled="t" stroked="f" coordsize="21600,21600" o:gfxdata="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n5ql9oAAAALAQAADwAAAAAAAAABACAAAAAiAAAAZHJzL2Rvd25yZXYueG1s&#10;UEsBAhQAFAAAAAgAh07iQC7vMAe9AQAAmAMAAA4AAAAAAAAAAQAgAAAAKQEAAGRycy9lMm9Eb2Mu&#10;eG1sUEsFBgAAAAAGAAYAWQEAAFgFAAAAAA==&#10;">
                <v:fill on="t" focussize="0,0"/>
                <v:stroke on="f"/>
                <v:imagedata o:title=""/>
                <o:lock v:ext="edit" aspectratio="f"/>
                <v:textbox inset="0mm,0mm,0mm,0mm">
                  <w:txbxContent>
                    <w:p>
                      <w:pPr>
                        <w:pStyle w:val="45"/>
                        <w:rPr>
                          <w:rFonts w:eastAsia="黑体"/>
                          <w:b/>
                          <w:sz w:val="21"/>
                          <w:szCs w:val="21"/>
                        </w:rPr>
                      </w:pPr>
                    </w:p>
                    <w:p>
                      <w:pPr>
                        <w:pStyle w:val="45"/>
                        <w:jc w:val="center"/>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3" name="直线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4" o:spid="_x0000_s1026" o:spt="20" style="position:absolute;left:0pt;margin-left:0pt;margin-top:700pt;height:0pt;width:482pt;z-index:25166745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lefEreABAADQAwAA&#10;DgAAAAAAAAABACAAAAAjAQAAZHJzL2Uyb0RvYy54bWxQSwUGAAAAAAYABgBZAQAAd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3635375</wp:posOffset>
                </wp:positionV>
                <wp:extent cx="5969000" cy="4321175"/>
                <wp:effectExtent l="0" t="0" r="12700" b="3175"/>
                <wp:wrapNone/>
                <wp:docPr id="1" name="fmFrame4"/>
                <wp:cNvGraphicFramePr/>
                <a:graphic xmlns:a="http://schemas.openxmlformats.org/drawingml/2006/main">
                  <a:graphicData uri="http://schemas.microsoft.com/office/word/2010/wordprocessingShape">
                    <wps:wsp>
                      <wps:cNvSpPr txBox="1"/>
                      <wps:spPr>
                        <a:xfrm>
                          <a:off x="0" y="0"/>
                          <a:ext cx="5969000" cy="4321175"/>
                        </a:xfrm>
                        <a:prstGeom prst="rect">
                          <a:avLst/>
                        </a:prstGeom>
                        <a:solidFill>
                          <a:srgbClr val="FFFFFF"/>
                        </a:solidFill>
                        <a:ln>
                          <a:noFill/>
                        </a:ln>
                      </wps:spPr>
                      <wps:txbx>
                        <w:txbxContent>
                          <w:p>
                            <w:pPr>
                              <w:pStyle w:val="50"/>
                            </w:pPr>
                          </w:p>
                          <w:p>
                            <w:pPr>
                              <w:pStyle w:val="5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网络空间安全专业人员认证规范</w:t>
                            </w:r>
                          </w:p>
                          <w:p>
                            <w:pPr>
                              <w:pStyle w:val="52"/>
                              <w:rPr>
                                <w:rFonts w:ascii="黑体" w:hAnsi="黑体" w:eastAsia="黑体" w:cs="宋体"/>
                                <w:color w:val="000000" w:themeColor="text1"/>
                                <w14:textFill>
                                  <w14:solidFill>
                                    <w14:schemeClr w14:val="tx1"/>
                                  </w14:solidFill>
                                </w14:textFill>
                              </w:rPr>
                            </w:pPr>
                            <w:r>
                              <w:rPr>
                                <w:rFonts w:hint="eastAsia" w:ascii="华文楷体" w:hAnsi="华文楷体" w:eastAsia="华文楷体"/>
                                <w:color w:val="333333"/>
                                <w:sz w:val="30"/>
                                <w:szCs w:val="30"/>
                                <w:shd w:val="clear" w:color="auto" w:fill="FFFFFF"/>
                              </w:rPr>
                              <w:t>C</w:t>
                            </w:r>
                            <w:r>
                              <w:rPr>
                                <w:rFonts w:ascii="华文楷体" w:hAnsi="华文楷体" w:eastAsia="华文楷体"/>
                                <w:color w:val="333333"/>
                                <w:sz w:val="30"/>
                                <w:szCs w:val="30"/>
                                <w:shd w:val="clear" w:color="auto" w:fill="FFFFFF"/>
                              </w:rPr>
                              <w:t xml:space="preserve">ertification </w:t>
                            </w:r>
                            <w:r>
                              <w:rPr>
                                <w:rFonts w:hint="eastAsia" w:ascii="华文楷体" w:hAnsi="华文楷体" w:eastAsia="华文楷体"/>
                                <w:color w:val="333333"/>
                                <w:sz w:val="30"/>
                                <w:szCs w:val="30"/>
                                <w:shd w:val="clear" w:color="auto" w:fill="FFFFFF"/>
                              </w:rPr>
                              <w:t>S</w:t>
                            </w:r>
                            <w:r>
                              <w:rPr>
                                <w:rFonts w:ascii="华文楷体" w:hAnsi="华文楷体" w:eastAsia="华文楷体"/>
                                <w:color w:val="333333"/>
                                <w:sz w:val="30"/>
                                <w:szCs w:val="30"/>
                                <w:shd w:val="clear" w:color="auto" w:fill="FFFFFF"/>
                              </w:rPr>
                              <w:t xml:space="preserve">pecification for </w:t>
                            </w:r>
                            <w:r>
                              <w:rPr>
                                <w:rFonts w:hint="eastAsia" w:ascii="华文楷体" w:hAnsi="华文楷体" w:eastAsia="华文楷体"/>
                                <w:color w:val="333333"/>
                                <w:sz w:val="30"/>
                                <w:szCs w:val="30"/>
                                <w:shd w:val="clear" w:color="auto" w:fill="FFFFFF"/>
                              </w:rPr>
                              <w:t>C</w:t>
                            </w:r>
                            <w:r>
                              <w:rPr>
                                <w:rFonts w:ascii="华文楷体" w:hAnsi="华文楷体" w:eastAsia="华文楷体"/>
                                <w:color w:val="333333"/>
                                <w:sz w:val="30"/>
                                <w:szCs w:val="30"/>
                                <w:shd w:val="clear" w:color="auto" w:fill="FFFFFF"/>
                              </w:rPr>
                              <w:t xml:space="preserve">yberspace </w:t>
                            </w:r>
                            <w:r>
                              <w:rPr>
                                <w:rFonts w:hint="eastAsia" w:ascii="华文楷体" w:hAnsi="华文楷体" w:eastAsia="华文楷体"/>
                                <w:color w:val="333333"/>
                                <w:sz w:val="30"/>
                                <w:szCs w:val="30"/>
                                <w:shd w:val="clear" w:color="auto" w:fill="FFFFFF"/>
                              </w:rPr>
                              <w:t>S</w:t>
                            </w:r>
                            <w:r>
                              <w:rPr>
                                <w:rFonts w:ascii="华文楷体" w:hAnsi="华文楷体" w:eastAsia="华文楷体"/>
                                <w:color w:val="333333"/>
                                <w:sz w:val="30"/>
                                <w:szCs w:val="30"/>
                                <w:shd w:val="clear" w:color="auto" w:fill="FFFFFF"/>
                              </w:rPr>
                              <w:t xml:space="preserve">ecurity </w:t>
                            </w:r>
                            <w:r>
                              <w:rPr>
                                <w:rFonts w:hint="eastAsia" w:ascii="华文楷体" w:hAnsi="华文楷体" w:eastAsia="华文楷体"/>
                                <w:color w:val="333333"/>
                                <w:sz w:val="30"/>
                                <w:szCs w:val="30"/>
                                <w:shd w:val="clear" w:color="auto" w:fill="FFFFFF"/>
                              </w:rPr>
                              <w:t>P</w:t>
                            </w:r>
                            <w:r>
                              <w:rPr>
                                <w:rFonts w:ascii="华文楷体" w:hAnsi="华文楷体" w:eastAsia="华文楷体"/>
                                <w:color w:val="333333"/>
                                <w:sz w:val="30"/>
                                <w:szCs w:val="30"/>
                                <w:shd w:val="clear" w:color="auto" w:fill="FFFFFF"/>
                              </w:rPr>
                              <w:t>rofessional</w:t>
                            </w:r>
                          </w:p>
                        </w:txbxContent>
                      </wps:txbx>
                      <wps:bodyPr lIns="0" tIns="0" rIns="0" bIns="0" upright="1"/>
                    </wps:wsp>
                  </a:graphicData>
                </a:graphic>
              </wp:anchor>
            </w:drawing>
          </mc:Choice>
          <mc:Fallback>
            <w:pict>
              <v:shape id="fmFrame4" o:spid="_x0000_s1026" o:spt="202" type="#_x0000_t202" style="position:absolute;left:0pt;margin-left:0pt;margin-top:286.25pt;height:340.25pt;width:470pt;mso-position-horizontal-relative:margin;mso-position-vertical-relative:margin;z-index:251665408;mso-width-relative:page;mso-height-relative:page;" fillcolor="#FFFFFF" filled="t" stroked="f" coordsize="21600,21600" o:gfxdata="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n7/22AAAAAkBAAAPAAAAAAAAAAEAIAAAACIAAABkcnMvZG93bnJldi54bWxQ&#10;SwECFAAUAAAACACHTuJA5yS/Zb4BAACZAwAADgAAAAAAAAABACAAAAAnAQAAZHJzL2Uyb0RvYy54&#10;bWxQSwUGAAAAAAYABgBZAQAAVwUAAAAA&#10;">
                <v:fill on="t" focussize="0,0"/>
                <v:stroke on="f"/>
                <v:imagedata o:title=""/>
                <o:lock v:ext="edit" aspectratio="f"/>
                <v:textbox inset="0mm,0mm,0mm,0mm">
                  <w:txbxContent>
                    <w:p>
                      <w:pPr>
                        <w:pStyle w:val="50"/>
                      </w:pPr>
                    </w:p>
                    <w:p>
                      <w:pPr>
                        <w:pStyle w:val="5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网络空间安全专业人员认证规范</w:t>
                      </w:r>
                    </w:p>
                    <w:p>
                      <w:pPr>
                        <w:pStyle w:val="52"/>
                        <w:rPr>
                          <w:rFonts w:ascii="黑体" w:hAnsi="黑体" w:eastAsia="黑体" w:cs="宋体"/>
                          <w:color w:val="000000" w:themeColor="text1"/>
                          <w14:textFill>
                            <w14:solidFill>
                              <w14:schemeClr w14:val="tx1"/>
                            </w14:solidFill>
                          </w14:textFill>
                        </w:rPr>
                      </w:pPr>
                      <w:r>
                        <w:rPr>
                          <w:rFonts w:hint="eastAsia" w:ascii="华文楷体" w:hAnsi="华文楷体" w:eastAsia="华文楷体"/>
                          <w:color w:val="333333"/>
                          <w:sz w:val="30"/>
                          <w:szCs w:val="30"/>
                          <w:shd w:val="clear" w:color="auto" w:fill="FFFFFF"/>
                        </w:rPr>
                        <w:t>C</w:t>
                      </w:r>
                      <w:r>
                        <w:rPr>
                          <w:rFonts w:ascii="华文楷体" w:hAnsi="华文楷体" w:eastAsia="华文楷体"/>
                          <w:color w:val="333333"/>
                          <w:sz w:val="30"/>
                          <w:szCs w:val="30"/>
                          <w:shd w:val="clear" w:color="auto" w:fill="FFFFFF"/>
                        </w:rPr>
                        <w:t xml:space="preserve">ertification </w:t>
                      </w:r>
                      <w:r>
                        <w:rPr>
                          <w:rFonts w:hint="eastAsia" w:ascii="华文楷体" w:hAnsi="华文楷体" w:eastAsia="华文楷体"/>
                          <w:color w:val="333333"/>
                          <w:sz w:val="30"/>
                          <w:szCs w:val="30"/>
                          <w:shd w:val="clear" w:color="auto" w:fill="FFFFFF"/>
                        </w:rPr>
                        <w:t>S</w:t>
                      </w:r>
                      <w:r>
                        <w:rPr>
                          <w:rFonts w:ascii="华文楷体" w:hAnsi="华文楷体" w:eastAsia="华文楷体"/>
                          <w:color w:val="333333"/>
                          <w:sz w:val="30"/>
                          <w:szCs w:val="30"/>
                          <w:shd w:val="clear" w:color="auto" w:fill="FFFFFF"/>
                        </w:rPr>
                        <w:t xml:space="preserve">pecification for </w:t>
                      </w:r>
                      <w:r>
                        <w:rPr>
                          <w:rFonts w:hint="eastAsia" w:ascii="华文楷体" w:hAnsi="华文楷体" w:eastAsia="华文楷体"/>
                          <w:color w:val="333333"/>
                          <w:sz w:val="30"/>
                          <w:szCs w:val="30"/>
                          <w:shd w:val="clear" w:color="auto" w:fill="FFFFFF"/>
                        </w:rPr>
                        <w:t>C</w:t>
                      </w:r>
                      <w:r>
                        <w:rPr>
                          <w:rFonts w:ascii="华文楷体" w:hAnsi="华文楷体" w:eastAsia="华文楷体"/>
                          <w:color w:val="333333"/>
                          <w:sz w:val="30"/>
                          <w:szCs w:val="30"/>
                          <w:shd w:val="clear" w:color="auto" w:fill="FFFFFF"/>
                        </w:rPr>
                        <w:t xml:space="preserve">yberspace </w:t>
                      </w:r>
                      <w:r>
                        <w:rPr>
                          <w:rFonts w:hint="eastAsia" w:ascii="华文楷体" w:hAnsi="华文楷体" w:eastAsia="华文楷体"/>
                          <w:color w:val="333333"/>
                          <w:sz w:val="30"/>
                          <w:szCs w:val="30"/>
                          <w:shd w:val="clear" w:color="auto" w:fill="FFFFFF"/>
                        </w:rPr>
                        <w:t>S</w:t>
                      </w:r>
                      <w:r>
                        <w:rPr>
                          <w:rFonts w:ascii="华文楷体" w:hAnsi="华文楷体" w:eastAsia="华文楷体"/>
                          <w:color w:val="333333"/>
                          <w:sz w:val="30"/>
                          <w:szCs w:val="30"/>
                          <w:shd w:val="clear" w:color="auto" w:fill="FFFFFF"/>
                        </w:rPr>
                        <w:t xml:space="preserve">ecurity </w:t>
                      </w:r>
                      <w:r>
                        <w:rPr>
                          <w:rFonts w:hint="eastAsia" w:ascii="华文楷体" w:hAnsi="华文楷体" w:eastAsia="华文楷体"/>
                          <w:color w:val="333333"/>
                          <w:sz w:val="30"/>
                          <w:szCs w:val="30"/>
                          <w:shd w:val="clear" w:color="auto" w:fill="FFFFFF"/>
                        </w:rPr>
                        <w:t>P</w:t>
                      </w:r>
                      <w:r>
                        <w:rPr>
                          <w:rFonts w:ascii="华文楷体" w:hAnsi="华文楷体" w:eastAsia="华文楷体"/>
                          <w:color w:val="333333"/>
                          <w:sz w:val="30"/>
                          <w:szCs w:val="30"/>
                          <w:shd w:val="clear" w:color="auto" w:fill="FFFFFF"/>
                        </w:rPr>
                        <w:t>rofessional</w:t>
                      </w:r>
                    </w:p>
                  </w:txbxContent>
                </v:textbox>
                <w10:anchorlock/>
              </v:shape>
            </w:pict>
          </mc:Fallback>
        </mc:AlternateContent>
      </w:r>
      <w:r>
        <w:rPr>
          <w:rFonts w:hint="eastAsia"/>
        </w:rPr>
        <w:t>huang</w:t>
      </w:r>
    </w:p>
    <w:bookmarkEnd w:id="0"/>
    <w:sdt>
      <w:sdtPr>
        <w:rPr>
          <w:rFonts w:ascii="宋体" w:hAnsi="宋体" w:eastAsia="宋体" w:cstheme="minorBidi"/>
          <w:kern w:val="2"/>
          <w:sz w:val="21"/>
          <w:szCs w:val="24"/>
          <w:lang w:val="en-US" w:eastAsia="zh-CN" w:bidi="ar-SA"/>
        </w:rPr>
        <w:id w:val="147469567"/>
        <w15:color w:val="DBDBDB"/>
        <w:docPartObj>
          <w:docPartGallery w:val="Table of Contents"/>
          <w:docPartUnique/>
        </w:docPartObj>
      </w:sdtPr>
      <w:sdtEndPr>
        <w:rPr>
          <w:rFonts w:ascii="宋体" w:hAnsi="Times New Roman" w:eastAsia="宋体" w:cs="Times New Roman"/>
          <w:kern w:val="2"/>
          <w:sz w:val="21"/>
          <w:szCs w:val="2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1417" w:after="850" w:afterLines="0" w:line="24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szCs w:val="21"/>
            </w:rPr>
            <w:fldChar w:fldCharType="begin"/>
          </w:r>
          <w:r>
            <w:rPr>
              <w:szCs w:val="21"/>
            </w:rPr>
            <w:instrText xml:space="preserve">TOC \o "1-3" \h \u </w:instrText>
          </w:r>
          <w:r>
            <w:rPr>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_Toc4508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_Toc4508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_Toc5088 </w:instrText>
          </w:r>
          <w:r>
            <w:rPr>
              <w:rFonts w:hint="eastAsia" w:ascii="宋体" w:hAnsi="宋体" w:eastAsia="宋体" w:cs="宋体"/>
              <w:sz w:val="21"/>
              <w:szCs w:val="21"/>
            </w:rP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_Toc5088 \h </w:instrText>
          </w:r>
          <w:r>
            <w:rPr>
              <w:rFonts w:hint="eastAsia" w:ascii="宋体" w:hAnsi="宋体" w:eastAsia="宋体" w:cs="宋体"/>
              <w:sz w:val="21"/>
              <w:szCs w:val="21"/>
            </w:rPr>
            <w:fldChar w:fldCharType="separate"/>
          </w:r>
          <w:r>
            <w:rPr>
              <w:rFonts w:hint="eastAsia" w:ascii="宋体" w:hAnsi="宋体" w:eastAsia="宋体" w:cs="宋体"/>
              <w:sz w:val="21"/>
              <w:szCs w:val="21"/>
            </w:rPr>
            <w:t>IV</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_Toc14010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_Toc14010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_Toc28306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_Toc28306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_Toc2804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3.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_Toc5309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4. 认证类别和级别划分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_Toc5309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_Toc6789 </w:instrText>
          </w:r>
          <w:r>
            <w:rPr>
              <w:rFonts w:hint="eastAsia" w:ascii="宋体" w:hAnsi="宋体" w:eastAsia="宋体" w:cs="宋体"/>
              <w:sz w:val="21"/>
              <w:szCs w:val="21"/>
            </w:rPr>
            <w:fldChar w:fldCharType="separate"/>
          </w:r>
          <w:r>
            <w:rPr>
              <w:rFonts w:hint="eastAsia" w:ascii="宋体" w:hAnsi="宋体" w:eastAsia="宋体" w:cs="宋体"/>
              <w:sz w:val="21"/>
              <w:szCs w:val="21"/>
            </w:rPr>
            <w:t>4.1 认证类别</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_Toc6789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_Toc8183 </w:instrText>
          </w:r>
          <w:r>
            <w:rPr>
              <w:rFonts w:hint="eastAsia" w:ascii="宋体" w:hAnsi="宋体" w:eastAsia="宋体" w:cs="宋体"/>
              <w:sz w:val="21"/>
              <w:szCs w:val="21"/>
            </w:rPr>
            <w:fldChar w:fldCharType="separate"/>
          </w:r>
          <w:r>
            <w:rPr>
              <w:rFonts w:hint="eastAsia" w:ascii="宋体" w:hAnsi="宋体" w:eastAsia="宋体" w:cs="宋体"/>
              <w:sz w:val="21"/>
              <w:szCs w:val="21"/>
            </w:rPr>
            <w:t>4.2 级别划分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_Toc8183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_Toc2740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5. 认证通用要求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_Toc23279 </w:instrText>
          </w:r>
          <w:r>
            <w:rPr>
              <w:rFonts w:hint="eastAsia" w:ascii="宋体" w:hAnsi="宋体" w:eastAsia="宋体" w:cs="宋体"/>
              <w:sz w:val="21"/>
              <w:szCs w:val="21"/>
            </w:rPr>
            <w:fldChar w:fldCharType="separate"/>
          </w:r>
          <w:r>
            <w:rPr>
              <w:rFonts w:hint="eastAsia" w:ascii="宋体" w:hAnsi="宋体" w:eastAsia="宋体" w:cs="宋体"/>
              <w:sz w:val="21"/>
              <w:szCs w:val="21"/>
            </w:rPr>
            <w:t>5.1 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_Toc23279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_Toc29657 </w:instrText>
          </w:r>
          <w:r>
            <w:rPr>
              <w:rFonts w:hint="eastAsia" w:ascii="宋体" w:hAnsi="宋体" w:eastAsia="宋体" w:cs="宋体"/>
              <w:sz w:val="21"/>
              <w:szCs w:val="21"/>
            </w:rPr>
            <w:fldChar w:fldCharType="separate"/>
          </w:r>
          <w:r>
            <w:rPr>
              <w:rFonts w:hint="eastAsia" w:ascii="宋体" w:hAnsi="宋体" w:eastAsia="宋体" w:cs="宋体"/>
              <w:sz w:val="21"/>
              <w:szCs w:val="21"/>
            </w:rPr>
            <w:t>5.2 初次申请资格要求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_Toc29657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_Toc27022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5.3 再认证资格要求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_Toc27022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_Toc28150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5.4 认证升级资格要求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_Toc28150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_Toc19060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 认证评价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_Toc19060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_Toc19784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6.1 认证评价方式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_Toc19784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_Toc15255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6.2 书面考试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_Toc15255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_Toc3382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6.3 书面评价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_Toc3382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_Toc32739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6.4 面试评价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_Toc32739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_Toc31158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6.5 认证批准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_Toc31158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_Toc15711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6.6 颁发证书与公告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_Toc15711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_Toc10989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6.7 年度确认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_Toc10989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_Toc5335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6.8 再认证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_Toc5335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_Toc27340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6.9 变更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_Toc27340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5"/>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_Toc27521 </w:instrText>
          </w:r>
          <w:r>
            <w:rPr>
              <w:rFonts w:hint="eastAsia" w:ascii="宋体" w:hAnsi="宋体" w:eastAsia="宋体" w:cs="宋体"/>
              <w:sz w:val="21"/>
              <w:szCs w:val="21"/>
            </w:rPr>
            <w:fldChar w:fldCharType="separate"/>
          </w:r>
          <w:r>
            <w:rPr>
              <w:rFonts w:hint="eastAsia" w:ascii="宋体" w:hAnsi="宋体" w:eastAsia="宋体" w:cs="宋体"/>
              <w:kern w:val="44"/>
              <w:sz w:val="21"/>
              <w:szCs w:val="21"/>
            </w:rPr>
            <w:t>6.10暂停、恢复、撤销和注销认证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_Toc27521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_Toc30057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w:t>
          </w:r>
          <w:r>
            <w:rPr>
              <w:rFonts w:hint="eastAsia" w:ascii="宋体" w:hAnsi="宋体" w:eastAsia="宋体" w:cs="宋体"/>
              <w:sz w:val="21"/>
              <w:szCs w:val="21"/>
              <w:lang w:val="en-US" w:eastAsia="zh-CN"/>
            </w:rPr>
            <w:t xml:space="preserve"> (规范性)</w:t>
          </w:r>
          <w:r>
            <w:rPr>
              <w:rFonts w:hint="eastAsia" w:ascii="宋体" w:hAnsi="宋体" w:cs="宋体"/>
              <w:sz w:val="21"/>
              <w:szCs w:val="21"/>
              <w:lang w:val="en-US" w:eastAsia="zh-CN"/>
            </w:rPr>
            <w:t xml:space="preserve"> </w:t>
          </w:r>
          <w:r>
            <w:rPr>
              <w:rFonts w:hint="eastAsia" w:ascii="宋体" w:hAnsi="宋体" w:eastAsia="宋体" w:cs="宋体"/>
              <w:sz w:val="21"/>
              <w:szCs w:val="21"/>
            </w:rPr>
            <w:t>通用技术基础知识考试大纲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_Toc30057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_Toc1992 </w:instrText>
          </w:r>
          <w:r>
            <w:rPr>
              <w:rFonts w:hint="eastAsia" w:ascii="宋体" w:hAnsi="宋体" w:eastAsia="宋体" w:cs="宋体"/>
              <w:sz w:val="21"/>
              <w:szCs w:val="21"/>
            </w:rPr>
            <w:fldChar w:fldCharType="separate"/>
          </w:r>
          <w:r>
            <w:rPr>
              <w:rFonts w:hint="eastAsia" w:ascii="宋体" w:hAnsi="宋体" w:eastAsia="宋体" w:cs="宋体"/>
              <w:sz w:val="21"/>
              <w:szCs w:val="21"/>
            </w:rPr>
            <w:t>附 录 B（规范性）通用管理类知识考试大纲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_Toc1992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_Toc5010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附 录 C（规范性）网络安全规划设计考试大纲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_Toc5010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_Toc10804 </w:instrText>
          </w:r>
          <w:r>
            <w:rPr>
              <w:rFonts w:hint="eastAsia" w:ascii="宋体" w:hAnsi="宋体" w:eastAsia="宋体" w:cs="宋体"/>
              <w:sz w:val="21"/>
              <w:szCs w:val="21"/>
            </w:rPr>
            <w:fldChar w:fldCharType="separate"/>
          </w:r>
          <w:r>
            <w:rPr>
              <w:rFonts w:hint="eastAsia" w:ascii="宋体" w:hAnsi="宋体" w:eastAsia="宋体" w:cs="宋体"/>
              <w:sz w:val="21"/>
              <w:szCs w:val="21"/>
            </w:rPr>
            <w:t>附 录 D（规范性）信息系统安全集成考试大纲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_Toc10804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_Toc880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E（规范性）信息系统安全运维人员考试大纲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_Toc880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_Toc26064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F（规范性）软件安全开发方向考试大纲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_Toc26064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_Toc30842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G（规范性）网络安全风险评估考试大纲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_Toc30842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_Toc31844 </w:instrText>
          </w:r>
          <w:r>
            <w:rPr>
              <w:rFonts w:hint="eastAsia" w:ascii="宋体" w:hAnsi="宋体" w:eastAsia="宋体" w:cs="宋体"/>
              <w:sz w:val="21"/>
              <w:szCs w:val="21"/>
            </w:rPr>
            <w:fldChar w:fldCharType="separate"/>
          </w:r>
          <w:r>
            <w:rPr>
              <w:rFonts w:hint="eastAsia" w:ascii="宋体" w:hAnsi="宋体" w:eastAsia="宋体" w:cs="宋体"/>
              <w:sz w:val="21"/>
              <w:szCs w:val="21"/>
            </w:rPr>
            <w:t>附 录 H（规范性）网络安全应急处理考试大纲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_Toc31844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_Toc30547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附 录</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I（规范性）云计算安全考试大纲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_Toc30547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_Toc21011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附 录 J（规范性）物联网安全考试大纲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_Toc21011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_Toc24308 </w:instrText>
          </w:r>
          <w:r>
            <w:rPr>
              <w:rFonts w:hint="eastAsia" w:ascii="宋体" w:hAnsi="宋体" w:eastAsia="宋体" w:cs="宋体"/>
              <w:sz w:val="21"/>
              <w:szCs w:val="21"/>
            </w:rPr>
            <w:fldChar w:fldCharType="separate"/>
          </w:r>
          <w:r>
            <w:rPr>
              <w:rFonts w:hint="eastAsia" w:ascii="宋体" w:hAnsi="宋体" w:eastAsia="宋体" w:cs="宋体"/>
              <w:sz w:val="21"/>
              <w:szCs w:val="21"/>
            </w:rPr>
            <w:t>附 录 K（规范性）人工智能安全考试大纲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_Toc24308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_Toc2281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O（规范性）大数据安全考试大纲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_Toc2281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_Toc24103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P（规范性）工业控制系统安全考试大纲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_Toc24103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_Toc30945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Q（规范性）网络安全审计考试大纲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_Toc30945 \h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_Toc3466 </w:instrText>
          </w:r>
          <w:r>
            <w:rPr>
              <w:rFonts w:hint="eastAsia" w:ascii="宋体" w:hAnsi="宋体" w:eastAsia="宋体" w:cs="宋体"/>
              <w:sz w:val="21"/>
              <w:szCs w:val="21"/>
            </w:rPr>
            <w:fldChar w:fldCharType="separate"/>
          </w:r>
          <w:r>
            <w:rPr>
              <w:rFonts w:hint="eastAsia" w:ascii="宋体" w:hAnsi="宋体" w:eastAsia="宋体" w:cs="宋体"/>
              <w:sz w:val="21"/>
              <w:szCs w:val="21"/>
            </w:rPr>
            <w:t>附 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R（规范性）渗透测试考试大纲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_Toc3466 \h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54"/>
            <w:keepNext w:val="0"/>
            <w:keepLines w:val="0"/>
            <w:pageBreakBefore w:val="0"/>
            <w:widowControl/>
            <w:tabs>
              <w:tab w:val="right" w:leader="dot" w:pos="9349"/>
            </w:tabs>
            <w:kinsoku/>
            <w:wordWrap/>
            <w:overflowPunct/>
            <w:topLinePunct w:val="0"/>
            <w:bidi w:val="0"/>
            <w:adjustRightInd/>
            <w:snapToGrid/>
            <w:spacing w:line="360" w:lineRule="auto"/>
            <w:textAlignment w:val="auto"/>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_Toc10912 </w:instrText>
          </w:r>
          <w:r>
            <w:rPr>
              <w:rFonts w:hint="eastAsia" w:ascii="宋体" w:hAnsi="宋体" w:eastAsia="宋体" w:cs="宋体"/>
              <w:sz w:val="21"/>
              <w:szCs w:val="21"/>
            </w:rPr>
            <w:fldChar w:fldCharType="separate"/>
          </w:r>
          <w:r>
            <w:rPr>
              <w:rFonts w:hint="eastAsia" w:ascii="宋体" w:hAnsi="宋体" w:eastAsia="宋体" w:cs="宋体"/>
              <w:sz w:val="21"/>
              <w:szCs w:val="21"/>
            </w:rPr>
            <w:t>参 考 文 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_Toc10912 \h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3"/>
            <w:keepNext w:val="0"/>
            <w:keepLines w:val="0"/>
            <w:pageBreakBefore w:val="0"/>
            <w:widowControl/>
            <w:kinsoku/>
            <w:wordWrap/>
            <w:overflowPunct/>
            <w:topLinePunct w:val="0"/>
            <w:bidi w:val="0"/>
            <w:adjustRightInd/>
            <w:snapToGrid/>
            <w:spacing w:line="360" w:lineRule="auto"/>
            <w:ind w:firstLine="420"/>
            <w:textAlignment w:val="auto"/>
            <w:rPr>
              <w:szCs w:val="21"/>
            </w:rPr>
          </w:pPr>
          <w:r>
            <w:rPr>
              <w:szCs w:val="21"/>
            </w:rPr>
            <w:fldChar w:fldCharType="end"/>
          </w:r>
        </w:p>
      </w:sdtContent>
    </w:sdt>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spacing w:line="360" w:lineRule="auto"/>
        <w:ind w:firstLine="420"/>
        <w:rPr>
          <w:szCs w:val="21"/>
        </w:rPr>
      </w:pPr>
    </w:p>
    <w:p>
      <w:pPr>
        <w:pStyle w:val="33"/>
        <w:adjustRightInd w:val="0"/>
        <w:snapToGrid w:val="0"/>
        <w:spacing w:before="850" w:after="680" w:line="360" w:lineRule="auto"/>
        <w:ind w:firstLine="640"/>
        <w:jc w:val="center"/>
        <w:outlineLvl w:val="0"/>
        <w:rPr>
          <w:rFonts w:ascii="黑体" w:hAnsi="黑体" w:eastAsia="黑体" w:cs="黑体"/>
          <w:sz w:val="32"/>
          <w:szCs w:val="32"/>
        </w:rPr>
      </w:pPr>
      <w:bookmarkStart w:id="1" w:name="_Toc4508"/>
      <w:r>
        <w:rPr>
          <w:rFonts w:hint="eastAsia" w:ascii="黑体" w:hAnsi="黑体" w:eastAsia="黑体" w:cs="黑体"/>
          <w:sz w:val="32"/>
          <w:szCs w:val="32"/>
        </w:rPr>
        <w:t>前 言</w:t>
      </w:r>
      <w:bookmarkEnd w:id="1"/>
    </w:p>
    <w:p>
      <w:pPr>
        <w:pStyle w:val="33"/>
        <w:adjustRightInd w:val="0"/>
        <w:snapToGrid w:val="0"/>
        <w:spacing w:line="360" w:lineRule="auto"/>
        <w:ind w:firstLine="420"/>
        <w:rPr>
          <w:rFonts w:hAnsi="宋体" w:cs="宋体"/>
          <w:szCs w:val="21"/>
        </w:rPr>
      </w:pPr>
      <w:r>
        <w:rPr>
          <w:rFonts w:hint="eastAsia" w:hAnsi="宋体" w:cs="宋体"/>
          <w:szCs w:val="21"/>
        </w:rPr>
        <w:t>本标准按GB/T 1.1-2020《标准化工作导则 第1部分：标准化文件的结构和起草规则》给出的规则起草。</w:t>
      </w:r>
    </w:p>
    <w:p>
      <w:pPr>
        <w:pStyle w:val="33"/>
        <w:adjustRightInd w:val="0"/>
        <w:snapToGrid w:val="0"/>
        <w:spacing w:line="360" w:lineRule="auto"/>
        <w:ind w:firstLine="420"/>
        <w:rPr>
          <w:rFonts w:hAnsi="宋体" w:cs="宋体"/>
          <w:szCs w:val="21"/>
        </w:rPr>
      </w:pPr>
      <w:r>
        <w:rPr>
          <w:rFonts w:hint="eastAsia" w:hAnsi="宋体" w:cs="宋体"/>
          <w:szCs w:val="21"/>
        </w:rPr>
        <w:t>本标准由网安联认证中心有限公司提出，北京网络空间安全协会归口。</w:t>
      </w:r>
    </w:p>
    <w:p>
      <w:pPr>
        <w:pStyle w:val="33"/>
        <w:adjustRightInd w:val="0"/>
        <w:snapToGrid w:val="0"/>
        <w:spacing w:line="360" w:lineRule="auto"/>
        <w:ind w:firstLine="420"/>
        <w:rPr>
          <w:rFonts w:hAnsi="宋体" w:cs="宋体"/>
          <w:szCs w:val="21"/>
        </w:rPr>
      </w:pPr>
      <w:r>
        <w:rPr>
          <w:rFonts w:hint="eastAsia" w:hAnsi="宋体" w:cs="宋体"/>
          <w:szCs w:val="21"/>
        </w:rPr>
        <w:t>本标准起草单位：</w:t>
      </w:r>
      <w:r>
        <w:rPr>
          <w:rFonts w:hint="eastAsia" w:hAnsi="宋体" w:cs="宋体"/>
          <w:szCs w:val="21"/>
          <w:lang w:eastAsia="zh-CN"/>
        </w:rPr>
        <w:t>广东省网络空间安全协会、</w:t>
      </w:r>
      <w:bookmarkStart w:id="177" w:name="_GoBack"/>
      <w:bookmarkEnd w:id="177"/>
      <w:r>
        <w:rPr>
          <w:rFonts w:hint="eastAsia" w:hAnsi="宋体" w:cs="宋体"/>
          <w:szCs w:val="21"/>
        </w:rPr>
        <w:t>广东关键信息基础设施保护中心、广州华南信息安全测评中心、网安联认证中心有限公司、广发证券股份有限公司、联通（广东）产业互联网有限公司、深圳市计量质量检测研究院、广东计安信息网络培训中心、广东省东莞市凤岗医院、广东中证声像资料司法鉴定所。</w:t>
      </w:r>
    </w:p>
    <w:p>
      <w:pPr>
        <w:pStyle w:val="33"/>
        <w:adjustRightInd w:val="0"/>
        <w:snapToGrid w:val="0"/>
        <w:spacing w:line="360" w:lineRule="auto"/>
        <w:ind w:firstLine="420"/>
        <w:rPr>
          <w:rFonts w:hAnsi="宋体" w:cs="宋体"/>
          <w:szCs w:val="21"/>
        </w:rPr>
      </w:pPr>
      <w:r>
        <w:rPr>
          <w:rFonts w:hint="eastAsia" w:hAnsi="宋体" w:cs="宋体"/>
          <w:szCs w:val="21"/>
        </w:rPr>
        <w:t>本标准起草人：成珍苑、吴星火、林小博、陈彦彬、姚飞、周绍午、安创文、李炯彬、杜守红、谭祥明、杨文玲、王欢、徐伟、陈宁、贺锋、叶婷、曾幸钦、曾炽强、谭剑成、曾灶烟、李树湖、刘泽楠、周贵招、麦世能、卢焕镇。</w:t>
      </w:r>
    </w:p>
    <w:p>
      <w:pPr>
        <w:adjustRightInd w:val="0"/>
        <w:snapToGrid w:val="0"/>
        <w:spacing w:line="360" w:lineRule="auto"/>
        <w:rPr>
          <w:rFonts w:ascii="宋体" w:hAnsi="宋体" w:eastAsia="宋体" w:cs="宋体"/>
          <w:b/>
          <w:bCs/>
          <w:kern w:val="0"/>
          <w:szCs w:val="21"/>
        </w:rPr>
      </w:pPr>
    </w:p>
    <w:p>
      <w:pPr>
        <w:widowControl/>
        <w:jc w:val="left"/>
        <w:rPr>
          <w:rFonts w:ascii="Songti SC Light" w:hAnsi="Songti SC Light" w:eastAsia="Songti SC Light" w:cs="Times New Roman"/>
          <w:b/>
          <w:bCs/>
          <w:kern w:val="0"/>
          <w:szCs w:val="21"/>
        </w:rPr>
      </w:pPr>
      <w:r>
        <w:rPr>
          <w:rFonts w:ascii="Songti SC Light" w:hAnsi="Songti SC Light" w:eastAsia="Songti SC Light" w:cs="Times New Roman"/>
          <w:b/>
          <w:bCs/>
          <w:kern w:val="0"/>
          <w:szCs w:val="21"/>
        </w:rPr>
        <w:br w:type="page"/>
      </w:r>
    </w:p>
    <w:p>
      <w:pPr>
        <w:pStyle w:val="33"/>
        <w:adjustRightInd w:val="0"/>
        <w:snapToGrid w:val="0"/>
        <w:spacing w:before="850" w:after="680" w:line="360" w:lineRule="auto"/>
        <w:ind w:firstLine="0" w:firstLineChars="0"/>
        <w:jc w:val="center"/>
        <w:outlineLvl w:val="0"/>
        <w:rPr>
          <w:rFonts w:ascii="黑体" w:hAnsi="黑体" w:eastAsia="黑体" w:cs="黑体"/>
          <w:sz w:val="32"/>
          <w:szCs w:val="32"/>
        </w:rPr>
      </w:pPr>
      <w:bookmarkStart w:id="2" w:name="_Toc5088"/>
      <w:bookmarkStart w:id="3" w:name="_Toc25300"/>
      <w:r>
        <w:rPr>
          <w:rFonts w:hint="eastAsia" w:ascii="黑体" w:hAnsi="黑体" w:eastAsia="黑体" w:cs="黑体"/>
          <w:sz w:val="32"/>
          <w:szCs w:val="32"/>
        </w:rPr>
        <w:t>引 言</w:t>
      </w:r>
      <w:bookmarkEnd w:id="2"/>
    </w:p>
    <w:bookmarkEnd w:id="3"/>
    <w:p>
      <w:pPr>
        <w:pStyle w:val="33"/>
        <w:spacing w:before="680" w:line="360" w:lineRule="auto"/>
        <w:ind w:firstLine="420"/>
        <w:rPr>
          <w:rFonts w:hAnsi="宋体"/>
          <w:szCs w:val="21"/>
        </w:rPr>
      </w:pPr>
      <w:bookmarkStart w:id="4" w:name="_Toc20466"/>
      <w:r>
        <w:rPr>
          <w:rFonts w:hint="eastAsia" w:hAnsi="宋体"/>
          <w:szCs w:val="21"/>
        </w:rPr>
        <w:t>《中华人民共和国网络安全法》第三十四条和《中华人民共和国数据安全法》第二十条对从事网络空间安全人员</w:t>
      </w:r>
      <w:r>
        <w:rPr>
          <w:rFonts w:ascii="Helvetica" w:hAnsi="Helvetica" w:eastAsia="Helvetica" w:cs="Helvetica"/>
          <w:color w:val="333333"/>
          <w:szCs w:val="21"/>
          <w:shd w:val="clear" w:color="auto" w:fill="FFFFFF"/>
        </w:rPr>
        <w:t>安全教育、技术培训和技能考核</w:t>
      </w:r>
      <w:r>
        <w:rPr>
          <w:rFonts w:hint="eastAsia" w:ascii="Helvetica" w:hAnsi="Helvetica" w:cs="Helvetica"/>
          <w:color w:val="333333"/>
          <w:szCs w:val="21"/>
          <w:shd w:val="clear" w:color="auto" w:fill="FFFFFF"/>
        </w:rPr>
        <w:t>等</w:t>
      </w:r>
      <w:r>
        <w:rPr>
          <w:rFonts w:hint="eastAsia" w:hAnsi="宋体"/>
          <w:szCs w:val="21"/>
        </w:rPr>
        <w:t>提出</w:t>
      </w:r>
      <w:r>
        <w:rPr>
          <w:rFonts w:hint="eastAsia" w:ascii="Helvetica" w:hAnsi="Helvetica" w:cs="Helvetica"/>
          <w:color w:val="333333"/>
          <w:szCs w:val="21"/>
          <w:shd w:val="clear" w:color="auto" w:fill="FFFFFF"/>
        </w:rPr>
        <w:t>明确要求，同时鼓励相关组织、机构开展网络空间安全人员水平认证。</w:t>
      </w:r>
      <w:r>
        <w:rPr>
          <w:rFonts w:hint="eastAsia" w:hAnsi="宋体"/>
          <w:szCs w:val="21"/>
        </w:rPr>
        <w:t>目前对网络空间安全从业人员分级分类、专业知识和能力水平等评价认证缺乏相应的标准规范，制约了网络空间安全保障体系构建和发展。</w:t>
      </w:r>
    </w:p>
    <w:p>
      <w:pPr>
        <w:pStyle w:val="33"/>
        <w:spacing w:line="36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制定统一的标准，推进权威机构的网络空间安全专业人才资质能力考核、认证工作，能够有效证明从业人员具备了相应的专业知识和能力、工作经验和业绩、以及较高的职业道德水平，从而为网络空间安全人才评价考核、选拔任用、职业进阶提供参考依据，推进网络空间安全人才的职业化和专业化发展。</w:t>
      </w:r>
    </w:p>
    <w:p>
      <w:pPr>
        <w:pStyle w:val="33"/>
        <w:spacing w:line="360" w:lineRule="auto"/>
        <w:ind w:firstLine="420"/>
        <w:rPr>
          <w:rFonts w:hAnsi="宋体"/>
          <w:szCs w:val="21"/>
        </w:rPr>
      </w:pPr>
      <w:r>
        <w:rPr>
          <w:rFonts w:hint="eastAsia" w:hAnsi="宋体"/>
          <w:color w:val="000000" w:themeColor="text1"/>
          <w:szCs w:val="21"/>
          <w14:textFill>
            <w14:solidFill>
              <w14:schemeClr w14:val="tx1"/>
            </w14:solidFill>
          </w14:textFill>
        </w:rPr>
        <w:t>网络空间安全专业人员认证（</w:t>
      </w:r>
      <w:r>
        <w:rPr>
          <w:rFonts w:hint="eastAsia" w:ascii="华文楷体" w:hAnsi="华文楷体" w:eastAsia="华文楷体"/>
          <w:color w:val="333333"/>
          <w:szCs w:val="21"/>
          <w:shd w:val="clear" w:color="auto" w:fill="FFFFFF"/>
        </w:rPr>
        <w:t>C</w:t>
      </w:r>
      <w:r>
        <w:rPr>
          <w:rFonts w:ascii="华文楷体" w:hAnsi="华文楷体" w:eastAsia="华文楷体"/>
          <w:color w:val="333333"/>
          <w:szCs w:val="21"/>
          <w:shd w:val="clear" w:color="auto" w:fill="FFFFFF"/>
        </w:rPr>
        <w:t xml:space="preserve">ertification </w:t>
      </w:r>
      <w:r>
        <w:rPr>
          <w:rFonts w:hint="eastAsia" w:ascii="华文楷体" w:hAnsi="华文楷体" w:eastAsia="华文楷体"/>
          <w:color w:val="333333"/>
          <w:szCs w:val="21"/>
          <w:shd w:val="clear" w:color="auto" w:fill="FFFFFF"/>
        </w:rPr>
        <w:t>S</w:t>
      </w:r>
      <w:r>
        <w:rPr>
          <w:rFonts w:ascii="华文楷体" w:hAnsi="华文楷体" w:eastAsia="华文楷体"/>
          <w:color w:val="333333"/>
          <w:szCs w:val="21"/>
          <w:shd w:val="clear" w:color="auto" w:fill="FFFFFF"/>
        </w:rPr>
        <w:t xml:space="preserve">pecification for </w:t>
      </w:r>
      <w:r>
        <w:rPr>
          <w:rFonts w:hint="eastAsia" w:ascii="华文楷体" w:hAnsi="华文楷体" w:eastAsia="华文楷体"/>
          <w:color w:val="333333"/>
          <w:szCs w:val="21"/>
          <w:shd w:val="clear" w:color="auto" w:fill="FFFFFF"/>
        </w:rPr>
        <w:t>C</w:t>
      </w:r>
      <w:r>
        <w:rPr>
          <w:rFonts w:ascii="华文楷体" w:hAnsi="华文楷体" w:eastAsia="华文楷体"/>
          <w:color w:val="333333"/>
          <w:szCs w:val="21"/>
          <w:shd w:val="clear" w:color="auto" w:fill="FFFFFF"/>
        </w:rPr>
        <w:t xml:space="preserve">yberspace </w:t>
      </w:r>
      <w:r>
        <w:rPr>
          <w:rFonts w:hint="eastAsia" w:ascii="华文楷体" w:hAnsi="华文楷体" w:eastAsia="华文楷体"/>
          <w:color w:val="333333"/>
          <w:szCs w:val="21"/>
          <w:shd w:val="clear" w:color="auto" w:fill="FFFFFF"/>
        </w:rPr>
        <w:t>S</w:t>
      </w:r>
      <w:r>
        <w:rPr>
          <w:rFonts w:ascii="华文楷体" w:hAnsi="华文楷体" w:eastAsia="华文楷体"/>
          <w:color w:val="333333"/>
          <w:szCs w:val="21"/>
          <w:shd w:val="clear" w:color="auto" w:fill="FFFFFF"/>
        </w:rPr>
        <w:t xml:space="preserve">ecurity </w:t>
      </w:r>
      <w:r>
        <w:rPr>
          <w:rFonts w:hint="eastAsia" w:ascii="华文楷体" w:hAnsi="华文楷体" w:eastAsia="华文楷体"/>
          <w:color w:val="333333"/>
          <w:szCs w:val="21"/>
          <w:shd w:val="clear" w:color="auto" w:fill="FFFFFF"/>
        </w:rPr>
        <w:t>P</w:t>
      </w:r>
      <w:r>
        <w:rPr>
          <w:rFonts w:ascii="华文楷体" w:hAnsi="华文楷体" w:eastAsia="华文楷体"/>
          <w:color w:val="333333"/>
          <w:szCs w:val="21"/>
          <w:shd w:val="clear" w:color="auto" w:fill="FFFFFF"/>
        </w:rPr>
        <w:t>rofessional</w:t>
      </w:r>
      <w:r>
        <w:rPr>
          <w:rFonts w:hint="eastAsia" w:hAnsi="宋体"/>
          <w:color w:val="000000" w:themeColor="text1"/>
          <w:szCs w:val="21"/>
          <w14:textFill>
            <w14:solidFill>
              <w14:schemeClr w14:val="tx1"/>
            </w14:solidFill>
          </w14:textFill>
        </w:rPr>
        <w:t xml:space="preserve"> 英文缩写CSCSP），针对网络空间安全从业人员进行水平认证，</w:t>
      </w:r>
      <w:r>
        <w:rPr>
          <w:rFonts w:hint="eastAsia" w:hAnsi="宋体"/>
          <w:szCs w:val="21"/>
        </w:rPr>
        <w:t>通过教育培训、技能考核及其他评价方式，认定获证人员具备了从事网络空间安全工作的个人素质和相应的技术知识与应用能力，规范网络安全专业人员知识、能力和行为准则，促进网络空间安全专业人才队伍建设，助力国家网络空间安全保障体系构建。</w:t>
      </w:r>
    </w:p>
    <w:p>
      <w:pPr>
        <w:pStyle w:val="33"/>
        <w:spacing w:line="360" w:lineRule="auto"/>
        <w:ind w:firstLine="420"/>
        <w:rPr>
          <w:szCs w:val="21"/>
        </w:rPr>
      </w:pPr>
      <w:r>
        <w:rPr>
          <w:rFonts w:hint="eastAsia" w:hAnsi="宋体"/>
          <w:szCs w:val="21"/>
        </w:rPr>
        <w:t>本规范规定了网络空间安全专业人员认证类别、专业方向和水平等级，明确认证要求和评价方式。</w:t>
      </w:r>
    </w:p>
    <w:p>
      <w:pPr>
        <w:adjustRightInd w:val="0"/>
        <w:snapToGrid w:val="0"/>
        <w:spacing w:before="850" w:after="680" w:line="360" w:lineRule="auto"/>
        <w:jc w:val="center"/>
        <w:rPr>
          <w:rFonts w:ascii="黑体" w:hAnsi="黑体" w:eastAsia="黑体" w:cs="黑体"/>
          <w:color w:val="000000" w:themeColor="text1"/>
          <w:sz w:val="32"/>
          <w:szCs w:val="32"/>
          <w14:textFill>
            <w14:solidFill>
              <w14:schemeClr w14:val="tx1"/>
            </w14:solidFill>
          </w14:textFill>
        </w:rPr>
        <w:sectPr>
          <w:footerReference r:id="rId10" w:type="default"/>
          <w:headerReference r:id="rId9" w:type="even"/>
          <w:footerReference r:id="rId11" w:type="even"/>
          <w:pgSz w:w="11900" w:h="16838"/>
          <w:pgMar w:top="1417" w:right="1134" w:bottom="1440" w:left="1417" w:header="454" w:footer="794" w:gutter="0"/>
          <w:pgNumType w:fmt="upperRoman" w:start="1"/>
          <w:cols w:space="0" w:num="1"/>
          <w:docGrid w:type="lines" w:linePitch="317" w:charSpace="0"/>
        </w:sectPr>
      </w:pPr>
    </w:p>
    <w:p>
      <w:pPr>
        <w:adjustRightInd w:val="0"/>
        <w:snapToGrid w:val="0"/>
        <w:spacing w:before="850" w:after="680" w:line="360" w:lineRule="auto"/>
        <w:jc w:val="center"/>
        <w:outlineLvl w:val="0"/>
        <w:rPr>
          <w:rFonts w:ascii="黑体" w:hAnsi="黑体" w:eastAsia="黑体" w:cs="黑体"/>
          <w:b/>
          <w:bCs/>
          <w:color w:val="000000" w:themeColor="text1"/>
          <w:kern w:val="0"/>
          <w:sz w:val="32"/>
          <w:szCs w:val="32"/>
          <w14:textFill>
            <w14:solidFill>
              <w14:schemeClr w14:val="tx1"/>
            </w14:solidFill>
          </w14:textFill>
        </w:rPr>
      </w:pPr>
      <w:bookmarkStart w:id="5" w:name="_Toc2432"/>
      <w:bookmarkStart w:id="6" w:name="_Toc18078"/>
      <w:r>
        <w:rPr>
          <w:rFonts w:hint="eastAsia" w:ascii="黑体" w:hAnsi="黑体" w:eastAsia="黑体" w:cs="黑体"/>
          <w:color w:val="000000" w:themeColor="text1"/>
          <w:sz w:val="32"/>
          <w:szCs w:val="32"/>
          <w14:textFill>
            <w14:solidFill>
              <w14:schemeClr w14:val="tx1"/>
            </w14:solidFill>
          </w14:textFill>
        </w:rPr>
        <w:t>网络空间安全专业人员认证规范</w:t>
      </w:r>
      <w:bookmarkEnd w:id="4"/>
      <w:bookmarkEnd w:id="5"/>
      <w:bookmarkEnd w:id="6"/>
    </w:p>
    <w:p>
      <w:pPr>
        <w:adjustRightInd w:val="0"/>
        <w:snapToGrid w:val="0"/>
        <w:spacing w:line="360" w:lineRule="auto"/>
        <w:outlineLvl w:val="0"/>
        <w:rPr>
          <w:rFonts w:ascii="黑体" w:hAnsi="黑体" w:eastAsia="黑体" w:cs="黑体"/>
          <w:kern w:val="0"/>
          <w:szCs w:val="21"/>
        </w:rPr>
      </w:pPr>
      <w:bookmarkStart w:id="7" w:name="_Toc14010"/>
      <w:r>
        <w:rPr>
          <w:rFonts w:hint="eastAsia" w:ascii="黑体" w:hAnsi="黑体" w:eastAsia="黑体" w:cs="黑体"/>
          <w:kern w:val="0"/>
          <w:szCs w:val="21"/>
        </w:rPr>
        <w:t>1. 范围</w:t>
      </w:r>
      <w:bookmarkEnd w:id="7"/>
    </w:p>
    <w:p>
      <w:pPr>
        <w:pStyle w:val="33"/>
        <w:spacing w:line="360" w:lineRule="auto"/>
        <w:ind w:firstLine="420"/>
        <w:rPr>
          <w:rFonts w:ascii="Times New Roman"/>
          <w:szCs w:val="21"/>
        </w:rPr>
      </w:pPr>
      <w:r>
        <w:rPr>
          <w:rFonts w:hint="eastAsia" w:hAnsi="宋体"/>
          <w:szCs w:val="21"/>
        </w:rPr>
        <w:t>本规范规定了网络空间安全专业人员认证类别、专业方向和水平等级，明确认证要求和评价方式。</w:t>
      </w:r>
    </w:p>
    <w:p>
      <w:pPr>
        <w:pStyle w:val="33"/>
        <w:spacing w:line="360" w:lineRule="auto"/>
        <w:ind w:firstLine="420"/>
        <w:rPr>
          <w:rFonts w:ascii="Times New Roman"/>
          <w:szCs w:val="21"/>
        </w:rPr>
      </w:pPr>
      <w:r>
        <w:rPr>
          <w:rFonts w:hint="eastAsia" w:ascii="Times New Roman"/>
          <w:szCs w:val="21"/>
        </w:rPr>
        <w:t>本规范适用于从事网络空间安全工作专业人员。</w:t>
      </w:r>
    </w:p>
    <w:p>
      <w:pPr>
        <w:spacing w:line="360" w:lineRule="auto"/>
        <w:outlineLvl w:val="0"/>
        <w:rPr>
          <w:rFonts w:ascii="Songti SC Light" w:hAnsi="Songti SC Light" w:eastAsia="Songti SC Light" w:cs="Times New Roman"/>
          <w:b/>
          <w:bCs/>
          <w:kern w:val="0"/>
          <w:szCs w:val="21"/>
        </w:rPr>
      </w:pPr>
      <w:bookmarkStart w:id="8" w:name="_Toc28306"/>
      <w:r>
        <w:rPr>
          <w:rFonts w:hint="eastAsia" w:ascii="黑体" w:hAnsi="黑体" w:eastAsia="黑体" w:cs="黑体"/>
          <w:kern w:val="0"/>
          <w:szCs w:val="21"/>
        </w:rPr>
        <w:t>2. 规范性引用文件</w:t>
      </w:r>
      <w:bookmarkEnd w:id="8"/>
    </w:p>
    <w:p>
      <w:pPr>
        <w:pStyle w:val="33"/>
        <w:spacing w:line="360" w:lineRule="auto"/>
        <w:ind w:firstLine="420"/>
        <w:rPr>
          <w:rFonts w:ascii="Times New Roman"/>
          <w:szCs w:val="21"/>
        </w:rPr>
      </w:pPr>
      <w:r>
        <w:rPr>
          <w:rFonts w:hint="eastAsia" w:ascii="Times New Roman"/>
          <w:szCs w:val="21"/>
        </w:rPr>
        <w:t>下列文件对于本规范的应用是必不可少的。凡是注日期的引用文件，仅注日期的版本适用于本文件。</w:t>
      </w:r>
    </w:p>
    <w:p>
      <w:pPr>
        <w:pStyle w:val="33"/>
        <w:spacing w:line="360" w:lineRule="auto"/>
        <w:ind w:firstLine="420"/>
        <w:rPr>
          <w:rFonts w:ascii="Times New Roman"/>
          <w:szCs w:val="21"/>
        </w:rPr>
      </w:pPr>
      <w:r>
        <w:rPr>
          <w:rFonts w:hint="eastAsia" w:ascii="Times New Roman"/>
          <w:szCs w:val="21"/>
        </w:rPr>
        <w:t>凡是不注日期的引用文件，其最新版本（包括所有的修改单）适用于本文件。</w:t>
      </w:r>
    </w:p>
    <w:p>
      <w:pPr>
        <w:numPr>
          <w:ilvl w:val="0"/>
          <w:numId w:val="3"/>
        </w:numPr>
        <w:spacing w:line="360" w:lineRule="auto"/>
        <w:ind w:firstLine="420" w:firstLineChars="200"/>
        <w:rPr>
          <w:rFonts w:ascii="宋体" w:hAnsi="宋体" w:eastAsia="宋体" w:cs="宋体"/>
        </w:rPr>
      </w:pPr>
      <w:r>
        <w:rPr>
          <w:rFonts w:hint="eastAsia" w:ascii="宋体" w:hAnsi="宋体" w:eastAsia="宋体" w:cs="宋体"/>
        </w:rPr>
        <w:t>GB/T 27203-2016 合格评定 用于人员认证的人员能力词汇</w:t>
      </w:r>
    </w:p>
    <w:p>
      <w:pPr>
        <w:numPr>
          <w:ilvl w:val="0"/>
          <w:numId w:val="3"/>
        </w:numPr>
        <w:spacing w:line="360" w:lineRule="auto"/>
        <w:ind w:firstLine="420" w:firstLineChars="200"/>
        <w:rPr>
          <w:rFonts w:ascii="宋体" w:hAnsi="宋体" w:eastAsia="宋体" w:cs="宋体"/>
        </w:rPr>
      </w:pPr>
      <w:r>
        <w:rPr>
          <w:rFonts w:hint="eastAsia" w:ascii="宋体" w:hAnsi="宋体" w:eastAsia="宋体" w:cs="宋体"/>
        </w:rPr>
        <w:t>GB/T 27024-2014 合格评定 人员认证机构通用要求</w:t>
      </w:r>
    </w:p>
    <w:p>
      <w:pPr>
        <w:spacing w:line="360" w:lineRule="auto"/>
        <w:outlineLvl w:val="0"/>
        <w:rPr>
          <w:rFonts w:ascii="黑体" w:hAnsi="黑体" w:eastAsia="黑体" w:cs="黑体"/>
          <w:kern w:val="0"/>
          <w:szCs w:val="21"/>
        </w:rPr>
      </w:pPr>
      <w:bookmarkStart w:id="9" w:name="_Toc2804"/>
      <w:r>
        <w:rPr>
          <w:rFonts w:hint="eastAsia" w:ascii="黑体" w:hAnsi="黑体" w:eastAsia="黑体" w:cs="黑体"/>
          <w:kern w:val="0"/>
          <w:szCs w:val="21"/>
        </w:rPr>
        <w:t>3. 术语和定义</w:t>
      </w:r>
      <w:bookmarkEnd w:id="9"/>
    </w:p>
    <w:p>
      <w:pPr>
        <w:spacing w:line="360" w:lineRule="auto"/>
        <w:rPr>
          <w:rFonts w:ascii="Times New Roman" w:hAnsi="Times New Roman" w:eastAsia="宋体" w:cs="Times New Roman"/>
          <w:b/>
          <w:bCs/>
          <w:kern w:val="0"/>
          <w:szCs w:val="21"/>
        </w:rPr>
      </w:pPr>
      <w:bookmarkStart w:id="10" w:name="_Toc30490"/>
      <w:r>
        <w:rPr>
          <w:rFonts w:hint="eastAsia" w:ascii="Times New Roman" w:hAnsi="Times New Roman" w:eastAsia="宋体" w:cs="Times New Roman"/>
          <w:b/>
          <w:bCs/>
          <w:kern w:val="0"/>
          <w:szCs w:val="21"/>
        </w:rPr>
        <w:t>3. 1</w:t>
      </w:r>
      <w:bookmarkEnd w:id="10"/>
    </w:p>
    <w:p>
      <w:pPr>
        <w:spacing w:line="360" w:lineRule="auto"/>
        <w:ind w:left="420" w:leftChars="200"/>
        <w:rPr>
          <w:rFonts w:ascii="宋体" w:hAnsi="宋体" w:eastAsia="宋体" w:cs="黑体"/>
          <w:kern w:val="0"/>
          <w:szCs w:val="21"/>
        </w:rPr>
      </w:pPr>
      <w:r>
        <w:rPr>
          <w:rFonts w:hint="eastAsia" w:ascii="黑体" w:hAnsi="黑体" w:eastAsia="黑体" w:cs="黑体"/>
          <w:kern w:val="0"/>
          <w:szCs w:val="21"/>
        </w:rPr>
        <w:t>网络空间安全</w:t>
      </w:r>
      <w:r>
        <w:rPr>
          <w:rFonts w:hint="eastAsia" w:ascii="宋体" w:hAnsi="宋体" w:eastAsia="宋体" w:cs="黑体"/>
          <w:kern w:val="0"/>
          <w:szCs w:val="21"/>
        </w:rPr>
        <w:t>（</w:t>
      </w:r>
      <w:r>
        <w:rPr>
          <w:rFonts w:hint="eastAsia" w:ascii="宋体" w:hAnsi="宋体" w:eastAsia="宋体"/>
          <w:color w:val="000000" w:themeColor="text1"/>
          <w:szCs w:val="21"/>
          <w14:textFill>
            <w14:solidFill>
              <w14:schemeClr w14:val="tx1"/>
            </w14:solidFill>
          </w14:textFill>
        </w:rPr>
        <w:t>Cyberspace</w:t>
      </w:r>
      <w:r>
        <w:rPr>
          <w:rFonts w:hint="eastAsia" w:ascii="宋体" w:hAnsi="宋体" w:eastAsia="宋体" w:cs="宋体"/>
          <w:kern w:val="0"/>
          <w:szCs w:val="21"/>
        </w:rPr>
        <w:t xml:space="preserve"> Security)</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网络系统的硬件、软件及其系统中的数据受到保护，不因偶然的或者恶意的原因而遭受到破坏、</w:t>
      </w:r>
    </w:p>
    <w:p>
      <w:pPr>
        <w:spacing w:line="360" w:lineRule="auto"/>
        <w:rPr>
          <w:rFonts w:ascii="宋体" w:hAnsi="宋体" w:eastAsia="宋体" w:cs="宋体"/>
          <w:kern w:val="0"/>
          <w:szCs w:val="21"/>
        </w:rPr>
      </w:pPr>
      <w:r>
        <w:rPr>
          <w:rFonts w:hint="eastAsia" w:ascii="宋体" w:hAnsi="宋体" w:eastAsia="宋体" w:cs="宋体"/>
          <w:kern w:val="0"/>
          <w:szCs w:val="21"/>
        </w:rPr>
        <w:t>更改、泄露，系统连续可靠正常地运行，网络服务不中断。</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2</w:t>
      </w:r>
    </w:p>
    <w:p>
      <w:pPr>
        <w:spacing w:line="276" w:lineRule="auto"/>
        <w:ind w:left="-84" w:leftChars="-40" w:firstLine="525" w:firstLineChars="250"/>
        <w:rPr>
          <w:rFonts w:ascii="Times New Roman" w:hAnsi="Times New Roman" w:eastAsia="宋体" w:cs="Times New Roman"/>
          <w:b/>
          <w:bCs/>
          <w:kern w:val="0"/>
          <w:szCs w:val="21"/>
        </w:rPr>
      </w:pPr>
      <w:bookmarkStart w:id="11" w:name="_Toc15340"/>
      <w:bookmarkStart w:id="12" w:name="_Toc29298"/>
      <w:bookmarkStart w:id="13" w:name="_Toc6110"/>
      <w:r>
        <w:rPr>
          <w:rFonts w:hint="eastAsia" w:ascii="黑体" w:hAnsi="黑体" w:eastAsia="黑体" w:cs="黑体"/>
          <w:kern w:val="0"/>
          <w:szCs w:val="21"/>
        </w:rPr>
        <w:t>网络空间安全专业人员</w:t>
      </w:r>
      <w:bookmarkEnd w:id="11"/>
      <w:bookmarkEnd w:id="12"/>
      <w:bookmarkEnd w:id="13"/>
      <w:r>
        <w:rPr>
          <w:rFonts w:hint="eastAsia" w:ascii="黑体" w:hAnsi="黑体" w:eastAsia="黑体" w:cs="黑体"/>
          <w:kern w:val="0"/>
          <w:szCs w:val="21"/>
        </w:rPr>
        <w:t xml:space="preserve"> </w:t>
      </w:r>
      <w:r>
        <w:rPr>
          <w:rFonts w:hint="eastAsia" w:ascii="Times New Roman" w:hAnsi="Times New Roman" w:eastAsia="宋体" w:cs="Times New Roman"/>
          <w:b/>
          <w:bCs/>
          <w:kern w:val="0"/>
          <w:szCs w:val="21"/>
        </w:rPr>
        <w:t xml:space="preserve"> </w:t>
      </w:r>
    </w:p>
    <w:p>
      <w:pPr>
        <w:pStyle w:val="33"/>
        <w:spacing w:line="360" w:lineRule="auto"/>
        <w:ind w:firstLine="420"/>
        <w:rPr>
          <w:rFonts w:ascii="Times New Roman"/>
          <w:szCs w:val="21"/>
        </w:rPr>
      </w:pPr>
      <w:r>
        <w:rPr>
          <w:rFonts w:hint="eastAsia" w:ascii="Times New Roman"/>
          <w:szCs w:val="21"/>
        </w:rPr>
        <w:t>从事网络空间安全相关工作的所有人员，包括管理人员、运营人员、技术人员。</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3</w:t>
      </w:r>
    </w:p>
    <w:p>
      <w:pPr>
        <w:spacing w:line="360" w:lineRule="auto"/>
        <w:ind w:firstLine="420" w:firstLineChars="200"/>
        <w:rPr>
          <w:rFonts w:ascii="黑体" w:hAnsi="黑体" w:eastAsia="黑体" w:cs="黑体"/>
          <w:kern w:val="0"/>
          <w:szCs w:val="21"/>
        </w:rPr>
      </w:pPr>
      <w:bookmarkStart w:id="14" w:name="_Toc11544"/>
      <w:bookmarkStart w:id="15" w:name="_Toc25447"/>
      <w:bookmarkStart w:id="16" w:name="_Toc23662"/>
      <w:r>
        <w:rPr>
          <w:rFonts w:hint="eastAsia" w:ascii="黑体" w:hAnsi="黑体" w:eastAsia="黑体" w:cs="黑体"/>
          <w:kern w:val="0"/>
          <w:szCs w:val="21"/>
        </w:rPr>
        <w:t>工作经历</w:t>
      </w:r>
      <w:bookmarkEnd w:id="14"/>
      <w:bookmarkEnd w:id="15"/>
      <w:bookmarkEnd w:id="16"/>
      <w:r>
        <w:rPr>
          <w:rFonts w:hint="eastAsia" w:ascii="黑体" w:hAnsi="黑体" w:eastAsia="黑体" w:cs="黑体"/>
          <w:kern w:val="0"/>
          <w:szCs w:val="21"/>
        </w:rPr>
        <w:t xml:space="preserve">  </w:t>
      </w:r>
    </w:p>
    <w:p>
      <w:pPr>
        <w:pStyle w:val="33"/>
        <w:spacing w:line="360" w:lineRule="auto"/>
        <w:ind w:firstLine="420"/>
        <w:rPr>
          <w:rFonts w:ascii="Times New Roman"/>
          <w:szCs w:val="21"/>
        </w:rPr>
      </w:pPr>
      <w:r>
        <w:rPr>
          <w:rFonts w:hint="eastAsia" w:ascii="Times New Roman"/>
          <w:szCs w:val="21"/>
        </w:rPr>
        <w:t>取得相应学历后的所有工作历史，无论是有偿的还是无偿的，全职的还是兼职的，不包括实习经历。</w:t>
      </w:r>
    </w:p>
    <w:p>
      <w:pPr>
        <w:spacing w:line="360" w:lineRule="auto"/>
        <w:rPr>
          <w:rFonts w:ascii="Times New Roman" w:hAnsi="Times New Roman" w:eastAsia="宋体" w:cs="Times New Roman"/>
          <w:b/>
          <w:bCs/>
          <w:kern w:val="0"/>
          <w:szCs w:val="21"/>
        </w:rPr>
      </w:pPr>
      <w:bookmarkStart w:id="17" w:name="OLE_LINK8"/>
      <w:r>
        <w:rPr>
          <w:rFonts w:hint="eastAsia" w:ascii="Times New Roman" w:hAnsi="Times New Roman" w:eastAsia="宋体" w:cs="Times New Roman"/>
          <w:b/>
          <w:bCs/>
          <w:kern w:val="0"/>
          <w:szCs w:val="21"/>
        </w:rPr>
        <w:t>3.</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4</w:t>
      </w:r>
    </w:p>
    <w:p>
      <w:pPr>
        <w:spacing w:line="360" w:lineRule="auto"/>
        <w:ind w:firstLine="420" w:firstLineChars="200"/>
        <w:rPr>
          <w:rFonts w:ascii="黑体" w:hAnsi="黑体" w:eastAsia="黑体" w:cs="黑体"/>
          <w:kern w:val="0"/>
          <w:szCs w:val="21"/>
        </w:rPr>
      </w:pPr>
      <w:bookmarkStart w:id="18" w:name="_Toc23087_WPSOffice_Level2"/>
      <w:r>
        <w:rPr>
          <w:rFonts w:hint="eastAsia" w:ascii="黑体" w:hAnsi="黑体" w:eastAsia="黑体" w:cs="黑体"/>
          <w:kern w:val="0"/>
          <w:szCs w:val="21"/>
        </w:rPr>
        <w:t>第三方认证机构</w:t>
      </w:r>
      <w:bookmarkEnd w:id="17"/>
      <w:r>
        <w:rPr>
          <w:rFonts w:hint="eastAsia" w:ascii="黑体" w:hAnsi="黑体" w:eastAsia="黑体" w:cs="黑体"/>
          <w:kern w:val="0"/>
          <w:szCs w:val="21"/>
        </w:rPr>
        <w:t xml:space="preserve"> </w:t>
      </w:r>
      <w:bookmarkEnd w:id="18"/>
    </w:p>
    <w:p>
      <w:pPr>
        <w:pStyle w:val="33"/>
        <w:spacing w:line="360" w:lineRule="auto"/>
        <w:ind w:firstLine="420"/>
        <w:rPr>
          <w:rFonts w:ascii="Times New Roman"/>
          <w:szCs w:val="21"/>
        </w:rPr>
      </w:pPr>
      <w:r>
        <w:rPr>
          <w:rFonts w:hint="eastAsia" w:ascii="Times New Roman"/>
          <w:szCs w:val="21"/>
        </w:rPr>
        <w:t>具有可靠的执行网络空间安全认证制度的必要能力，并在认证过程中能够客观、公正、独立地从事认证活动的机构。</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3.5</w:t>
      </w:r>
    </w:p>
    <w:p>
      <w:pPr>
        <w:spacing w:line="360" w:lineRule="auto"/>
        <w:ind w:firstLine="420" w:firstLineChars="200"/>
        <w:rPr>
          <w:rFonts w:ascii="黑体" w:hAnsi="黑体" w:eastAsia="黑体" w:cs="黑体"/>
          <w:kern w:val="0"/>
          <w:szCs w:val="21"/>
        </w:rPr>
      </w:pPr>
      <w:r>
        <w:rPr>
          <w:rFonts w:hint="eastAsia" w:ascii="黑体" w:hAnsi="黑体" w:eastAsia="黑体" w:cs="黑体"/>
          <w:kern w:val="0"/>
          <w:szCs w:val="21"/>
        </w:rPr>
        <w:t>关键信息基础设施</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r>
        <w:rPr>
          <w:rFonts w:hint="eastAsia" w:ascii="宋体" w:hAnsi="宋体" w:eastAsia="宋体" w:cs="宋体"/>
          <w:kern w:val="0"/>
          <w:szCs w:val="21"/>
        </w:rPr>
        <w:t xml:space="preserve"> </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3.6</w:t>
      </w:r>
    </w:p>
    <w:p>
      <w:pPr>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重要数据</w:t>
      </w:r>
    </w:p>
    <w:p>
      <w:pPr>
        <w:spacing w:line="360" w:lineRule="auto"/>
        <w:ind w:firstLine="420" w:firstLineChars="200"/>
        <w:rPr>
          <w:rFonts w:hint="eastAsia" w:ascii="宋体" w:hAnsi="宋体" w:eastAsia="宋体" w:cs="宋体"/>
          <w:kern w:val="0"/>
        </w:rPr>
      </w:pPr>
      <w:r>
        <w:rPr>
          <w:rFonts w:hint="eastAsia" w:ascii="宋体" w:hAnsi="宋体" w:eastAsia="宋体" w:cs="宋体"/>
          <w:kern w:val="0"/>
          <w:szCs w:val="21"/>
        </w:rPr>
        <w:t>是指以电子方式存在的，一旦遭到篡改、破坏、泄露或者非法获取、非法利用，可能危害国家安全、公共利益的数据。</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3.7</w:t>
      </w:r>
    </w:p>
    <w:p>
      <w:pPr>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个人信息</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以电子或者其他方式记录的与已识别或者可识别的自然人有关的各种信息，不包括匿名化处理后的信息。</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3.8</w:t>
      </w:r>
    </w:p>
    <w:p>
      <w:pPr>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网络安全规划设计</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综合运用计算机软、硬件技术、网络通信技术、密码技术、信息安全技术，在企业、系统或项目的设计规划阶段，提出综合性的解决方案，以保障网络系统及其所承载的数据的保密性、完整性及可用性。</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3.9</w:t>
      </w:r>
    </w:p>
    <w:p>
      <w:pPr>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信息系统安全集成</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按照信息系统的安全需求，采用信息系统安全工程的方法和理论，将安全单元、产品部件进行集成的统一和协调的系统之中，使资源达到充分共享，实现集中、高效、便利的管理，从而使建设完成后的信息系统满足建设方或使用方的安全需求而开展的活动。</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3.10</w:t>
      </w:r>
    </w:p>
    <w:p>
      <w:pPr>
        <w:spacing w:line="360" w:lineRule="auto"/>
        <w:ind w:firstLine="420" w:firstLineChars="200"/>
        <w:rPr>
          <w:rFonts w:ascii="黑体" w:hAnsi="黑体" w:eastAsia="黑体" w:cs="黑体"/>
          <w:kern w:val="0"/>
          <w:szCs w:val="21"/>
        </w:rPr>
      </w:pPr>
      <w:r>
        <w:rPr>
          <w:rFonts w:hint="eastAsia" w:ascii="黑体" w:hAnsi="黑体" w:eastAsia="黑体" w:cs="黑体"/>
          <w:kern w:val="0"/>
          <w:szCs w:val="21"/>
        </w:rPr>
        <w:t>信息系统安全运维</w:t>
      </w:r>
    </w:p>
    <w:p>
      <w:pPr>
        <w:pStyle w:val="12"/>
        <w:spacing w:line="440" w:lineRule="exact"/>
        <w:ind w:firstLine="404" w:firstLineChars="200"/>
        <w:rPr>
          <w:rFonts w:ascii="宋体" w:hAnsi="宋体" w:eastAsia="宋体" w:cs="宋体"/>
          <w:spacing w:val="-4"/>
        </w:rPr>
      </w:pPr>
      <w:r>
        <w:rPr>
          <w:rFonts w:hint="eastAsia" w:ascii="宋体" w:hAnsi="宋体" w:eastAsia="宋体" w:cs="宋体"/>
          <w:spacing w:val="-4"/>
        </w:rPr>
        <w:t>为保障和提升服务对象的信息系统安全防护能力，及时解决出现的网络安全问题，由服务机构通过管理与技术手段提供的网络安全服务，主要包括安全巡检、病毒查杀、备份和恢复、安全审计、安全优化、渗透测试、风险评估等。</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3.11</w:t>
      </w:r>
    </w:p>
    <w:p>
      <w:pPr>
        <w:spacing w:line="360" w:lineRule="auto"/>
        <w:ind w:firstLine="420" w:firstLineChars="200"/>
        <w:rPr>
          <w:rFonts w:ascii="黑体" w:hAnsi="黑体" w:eastAsia="黑体" w:cs="黑体"/>
          <w:kern w:val="0"/>
          <w:szCs w:val="21"/>
        </w:rPr>
      </w:pPr>
      <w:r>
        <w:rPr>
          <w:rFonts w:hint="eastAsia" w:ascii="黑体" w:hAnsi="黑体" w:eastAsia="黑体" w:cs="黑体"/>
          <w:kern w:val="0"/>
          <w:szCs w:val="21"/>
        </w:rPr>
        <w:t>网络安全应急处理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在突发重大网络安全事件后对包括计算机运行在内的业务运行进行维持或恢复的各种技术和管理策略与规程。</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3.12</w:t>
      </w:r>
    </w:p>
    <w:p>
      <w:pPr>
        <w:spacing w:line="360" w:lineRule="auto"/>
        <w:ind w:firstLine="420" w:firstLineChars="200"/>
        <w:rPr>
          <w:rFonts w:hint="eastAsia" w:ascii="黑体" w:hAnsi="黑体" w:eastAsia="黑体" w:cs="黑体"/>
          <w:b w:val="0"/>
          <w:bCs w:val="0"/>
          <w:kern w:val="0"/>
          <w:szCs w:val="21"/>
        </w:rPr>
      </w:pPr>
      <w:r>
        <w:rPr>
          <w:rFonts w:hint="eastAsia" w:ascii="黑体" w:hAnsi="黑体" w:eastAsia="黑体" w:cs="黑体"/>
          <w:b w:val="0"/>
          <w:bCs w:val="0"/>
          <w:kern w:val="0"/>
          <w:szCs w:val="21"/>
        </w:rPr>
        <w:t>软件安全开发</w:t>
      </w:r>
    </w:p>
    <w:p>
      <w:pPr>
        <w:pStyle w:val="12"/>
        <w:snapToGrid w:val="0"/>
        <w:spacing w:line="440" w:lineRule="exact"/>
        <w:ind w:firstLine="404" w:firstLineChars="200"/>
        <w:rPr>
          <w:spacing w:val="-4"/>
        </w:rPr>
      </w:pPr>
      <w:r>
        <w:rPr>
          <w:rFonts w:hint="eastAsia" w:ascii="宋体" w:hAnsi="宋体" w:eastAsia="宋体" w:cs="宋体"/>
          <w:spacing w:val="-4"/>
        </w:rPr>
        <w:t>为解决软件产品的漏洞问题，而将安全活动集成到系统开发和软件质量保证活动中， 在软件开发的每个关键点嵌入安全要素，通过安全需求分析、安全设计、安全编码、安全测试等专业手段，解决各阶段可能出现的安全问题，有效减少软件产品潜在的漏洞数量提高软件产品安全质量的活动。</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3.14</w:t>
      </w:r>
    </w:p>
    <w:p>
      <w:pPr>
        <w:spacing w:line="360" w:lineRule="auto"/>
        <w:rPr>
          <w:rFonts w:hint="eastAsia" w:ascii="黑体" w:hAnsi="黑体" w:eastAsia="黑体" w:cs="黑体"/>
          <w:b w:val="0"/>
          <w:bCs w:val="0"/>
          <w:kern w:val="0"/>
          <w:szCs w:val="21"/>
        </w:rPr>
      </w:pPr>
      <w:r>
        <w:rPr>
          <w:rFonts w:hint="eastAsia" w:ascii="Times New Roman" w:hAnsi="Times New Roman" w:eastAsia="宋体" w:cs="Times New Roman"/>
          <w:b/>
          <w:bCs/>
          <w:kern w:val="0"/>
          <w:szCs w:val="21"/>
        </w:rPr>
        <w:t xml:space="preserve"> </w:t>
      </w:r>
      <w:r>
        <w:rPr>
          <w:rFonts w:hint="eastAsia" w:ascii="黑体" w:hAnsi="黑体" w:eastAsia="黑体" w:cs="黑体"/>
          <w:b w:val="0"/>
          <w:bCs w:val="0"/>
          <w:kern w:val="0"/>
          <w:szCs w:val="21"/>
        </w:rPr>
        <w:t xml:space="preserve">  网络安全风险评估</w:t>
      </w:r>
    </w:p>
    <w:p>
      <w:pPr>
        <w:pStyle w:val="36"/>
        <w:spacing w:line="360" w:lineRule="auto"/>
        <w:ind w:firstLine="404"/>
        <w:rPr>
          <w:rFonts w:ascii="宋体" w:hAnsi="宋体" w:cs="宋体"/>
          <w:kern w:val="0"/>
        </w:rPr>
      </w:pPr>
      <w:r>
        <w:rPr>
          <w:rFonts w:hint="eastAsia" w:ascii="宋体" w:hAnsi="宋体" w:cs="宋体"/>
          <w:spacing w:val="-4"/>
        </w:rPr>
        <w:t>依据有关信息安全技术与管理标准，对信息系统及由其处理、传输和存储的信息的保密性、完整性和可用性等安全属性进行评价的过程。它要评估资产面临的威胁以及威胁利用脆弱性导致安全事件的可能性，并结合安全事件所涉及的资产价值来判断安全事件一旦发生对组织造成的影响。</w:t>
      </w:r>
      <w:r>
        <w:rPr>
          <w:rFonts w:hint="eastAsia" w:ascii="宋体" w:hAnsi="宋体" w:cs="宋体"/>
          <w:kern w:val="0"/>
        </w:rPr>
        <w:t xml:space="preserve"> </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3.15</w:t>
      </w:r>
    </w:p>
    <w:p>
      <w:pPr>
        <w:spacing w:line="360" w:lineRule="auto"/>
        <w:ind w:firstLine="420" w:firstLineChars="200"/>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lang w:val="en-US" w:eastAsia="zh-CN"/>
        </w:rPr>
        <w:t>大</w:t>
      </w:r>
      <w:r>
        <w:rPr>
          <w:rFonts w:hint="eastAsia" w:ascii="黑体" w:hAnsi="黑体" w:eastAsia="黑体" w:cs="黑体"/>
          <w:b w:val="0"/>
          <w:bCs w:val="0"/>
          <w:color w:val="auto"/>
          <w:kern w:val="0"/>
          <w:szCs w:val="21"/>
        </w:rPr>
        <w:t>数据安全</w:t>
      </w:r>
    </w:p>
    <w:p>
      <w:pPr>
        <w:pStyle w:val="36"/>
        <w:spacing w:line="360" w:lineRule="auto"/>
        <w:rPr>
          <w:rFonts w:hint="eastAsia" w:ascii="宋体" w:hAnsi="宋体" w:cs="宋体"/>
          <w:kern w:val="0"/>
        </w:rPr>
      </w:pPr>
      <w:r>
        <w:rPr>
          <w:rFonts w:hint="eastAsia" w:ascii="宋体" w:hAnsi="宋体" w:cs="宋体"/>
          <w:kern w:val="0"/>
        </w:rPr>
        <w:t>数据在整个系统中，从诞生到收集、清洗、存储、分析、消费、存档以及销毁这个生命周期中，其机密性、完整性和可用性不被破坏。</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3.16</w:t>
      </w:r>
    </w:p>
    <w:p>
      <w:pPr>
        <w:spacing w:line="360" w:lineRule="auto"/>
        <w:ind w:firstLine="420" w:firstLineChars="200"/>
        <w:rPr>
          <w:rFonts w:hint="eastAsia" w:ascii="黑体" w:hAnsi="黑体" w:eastAsia="黑体" w:cs="黑体"/>
          <w:b w:val="0"/>
          <w:bCs w:val="0"/>
          <w:kern w:val="0"/>
          <w:szCs w:val="21"/>
        </w:rPr>
      </w:pPr>
      <w:r>
        <w:rPr>
          <w:rFonts w:hint="eastAsia" w:ascii="黑体" w:hAnsi="黑体" w:eastAsia="黑体" w:cs="黑体"/>
          <w:b w:val="0"/>
          <w:bCs w:val="0"/>
          <w:kern w:val="0"/>
          <w:szCs w:val="21"/>
        </w:rPr>
        <w:t>云计算安全</w:t>
      </w:r>
    </w:p>
    <w:p>
      <w:pPr>
        <w:pStyle w:val="36"/>
        <w:spacing w:line="360" w:lineRule="auto"/>
        <w:rPr>
          <w:color w:val="ED7D31" w:themeColor="accent2"/>
          <w:kern w:val="0"/>
          <w14:textFill>
            <w14:solidFill>
              <w14:schemeClr w14:val="accent2"/>
            </w14:solidFill>
          </w14:textFill>
        </w:rPr>
      </w:pPr>
      <w:r>
        <w:rPr>
          <w:rFonts w:hint="eastAsia"/>
          <w:kern w:val="0"/>
        </w:rPr>
        <w:t>云计算安全或云安全指一系列用于保护云计算数据、应用和相关结构的策略、技术和控制的集合。</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3.17</w:t>
      </w:r>
    </w:p>
    <w:p>
      <w:pPr>
        <w:spacing w:line="360" w:lineRule="auto"/>
        <w:ind w:firstLine="420" w:firstLineChars="200"/>
        <w:rPr>
          <w:rFonts w:hint="eastAsia" w:ascii="黑体" w:hAnsi="黑体" w:eastAsia="黑体" w:cs="黑体"/>
          <w:b w:val="0"/>
          <w:bCs w:val="0"/>
          <w:kern w:val="0"/>
          <w:szCs w:val="21"/>
        </w:rPr>
      </w:pPr>
      <w:r>
        <w:rPr>
          <w:rFonts w:hint="eastAsia" w:ascii="黑体" w:hAnsi="黑体" w:eastAsia="黑体" w:cs="黑体"/>
          <w:b w:val="0"/>
          <w:bCs w:val="0"/>
          <w:kern w:val="0"/>
          <w:szCs w:val="21"/>
        </w:rPr>
        <w:t>网络安全审计</w:t>
      </w:r>
    </w:p>
    <w:p>
      <w:pPr>
        <w:widowControl/>
        <w:spacing w:line="360" w:lineRule="auto"/>
        <w:ind w:firstLine="404" w:firstLineChars="200"/>
        <w:jc w:val="left"/>
        <w:rPr>
          <w:rFonts w:ascii="宋体" w:hAnsi="宋体" w:eastAsia="宋体" w:cs="宋体"/>
          <w:spacing w:val="-4"/>
          <w:szCs w:val="21"/>
        </w:rPr>
      </w:pPr>
      <w:r>
        <w:rPr>
          <w:rFonts w:ascii="宋体" w:hAnsi="宋体" w:eastAsia="宋体" w:cs="宋体"/>
          <w:spacing w:val="-4"/>
          <w:szCs w:val="21"/>
        </w:rPr>
        <w:t>网络安全审计是指按照一定的安全策略，利用记录、系统活动和用户活动等信息，检查、审查和检验操作事件的环境及活动，从而发现系统漏洞、入侵行为或改善系统性能的过程。</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3.18</w:t>
      </w:r>
    </w:p>
    <w:p>
      <w:pPr>
        <w:spacing w:line="360" w:lineRule="auto"/>
        <w:ind w:firstLine="420" w:firstLineChars="200"/>
        <w:rPr>
          <w:rFonts w:hint="eastAsia" w:ascii="黑体" w:hAnsi="黑体" w:eastAsia="黑体" w:cs="黑体"/>
          <w:b w:val="0"/>
          <w:bCs w:val="0"/>
          <w:kern w:val="0"/>
          <w:szCs w:val="21"/>
        </w:rPr>
      </w:pPr>
      <w:r>
        <w:rPr>
          <w:rFonts w:hint="eastAsia" w:ascii="黑体" w:hAnsi="黑体" w:eastAsia="黑体" w:cs="黑体"/>
          <w:b w:val="0"/>
          <w:bCs w:val="0"/>
          <w:kern w:val="0"/>
          <w:szCs w:val="21"/>
        </w:rPr>
        <w:t>工业控制系统安全</w:t>
      </w:r>
    </w:p>
    <w:p>
      <w:pPr>
        <w:widowControl/>
        <w:spacing w:line="360" w:lineRule="auto"/>
        <w:ind w:firstLine="404" w:firstLineChars="200"/>
        <w:jc w:val="left"/>
        <w:rPr>
          <w:rFonts w:ascii="宋体" w:hAnsi="宋体" w:eastAsia="宋体" w:cs="宋体"/>
          <w:spacing w:val="-4"/>
          <w:szCs w:val="21"/>
        </w:rPr>
      </w:pPr>
      <w:r>
        <w:rPr>
          <w:rFonts w:ascii="宋体" w:hAnsi="宋体" w:eastAsia="宋体" w:cs="宋体"/>
          <w:spacing w:val="-4"/>
          <w:szCs w:val="21"/>
        </w:rPr>
        <w:t>通过管理与技术手段保护工业控制系统的软硬件、网络及其中数据，使其不因偶然的或者恶意原因而遭受破坏、更改泄露，保障工业控制系统连续</w:t>
      </w:r>
      <w:r>
        <w:rPr>
          <w:rFonts w:hint="eastAsia" w:ascii="宋体" w:hAnsi="宋体" w:eastAsia="宋体" w:cs="宋体"/>
          <w:spacing w:val="-4"/>
          <w:szCs w:val="21"/>
        </w:rPr>
        <w:t>正常的运行</w:t>
      </w:r>
      <w:r>
        <w:rPr>
          <w:rFonts w:ascii="宋体" w:hAnsi="宋体" w:eastAsia="宋体" w:cs="宋体"/>
          <w:spacing w:val="-4"/>
          <w:szCs w:val="21"/>
        </w:rPr>
        <w:t>所提供的</w:t>
      </w:r>
      <w:r>
        <w:rPr>
          <w:rFonts w:hint="eastAsia" w:ascii="宋体" w:hAnsi="宋体" w:eastAsia="宋体" w:cs="宋体"/>
          <w:spacing w:val="-4"/>
          <w:szCs w:val="21"/>
        </w:rPr>
        <w:t>一系列防护策略和手段，</w:t>
      </w:r>
      <w:r>
        <w:rPr>
          <w:rFonts w:ascii="宋体" w:hAnsi="宋体" w:eastAsia="宋体" w:cs="宋体"/>
          <w:spacing w:val="-4"/>
          <w:szCs w:val="21"/>
        </w:rPr>
        <w:t>主要包括工业控制系统调研、工业控制系统风险评估、安全解决方案设计、安全加固与防护实施、运维管理体系建设等。</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3.19</w:t>
      </w:r>
    </w:p>
    <w:p>
      <w:pPr>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渗透测试</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模拟黑客攻击的手法，进行的非破坏性的攻击性测试，以期发现可能被黑客利用对系统进行入侵的安全漏洞和隐患及攻击路径，并将入侵的过程和漏洞细节产生报告给服务对象，提出详细、合理的修复建议，指导其进行整改，清除安全隐患，降低安全风险，为服务对象信息系统的平稳运行提供安全保障。</w:t>
      </w:r>
    </w:p>
    <w:p>
      <w:pPr>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3.20</w:t>
      </w:r>
    </w:p>
    <w:p>
      <w:pPr>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物联网安全</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能够对物联网络的访问加以控制、确定用户（如抽象的有权限的账号、人、物联网终端、物联网端节点或物联网接入网关）身份真实有效以及私密性、保证用户行为不可抵赖、保证传输和存储数据的机密性、完整性、保证物联网的可用性、防止网络、业务遇到偶然的、被动的和主动的威胁以及病毒的扩散的技术和管理措施，以及对影响网络、业务的意外事故的应对措施。</w:t>
      </w:r>
    </w:p>
    <w:p>
      <w:pPr>
        <w:spacing w:before="158" w:beforeLines="50" w:line="360" w:lineRule="auto"/>
        <w:outlineLvl w:val="0"/>
        <w:rPr>
          <w:rFonts w:ascii="黑体" w:hAnsi="黑体" w:eastAsia="黑体" w:cs="黑体"/>
          <w:kern w:val="0"/>
          <w:szCs w:val="21"/>
        </w:rPr>
      </w:pPr>
      <w:bookmarkStart w:id="19" w:name="_Toc5309"/>
      <w:r>
        <w:rPr>
          <w:rFonts w:hint="eastAsia" w:ascii="黑体" w:hAnsi="黑体" w:eastAsia="黑体" w:cs="黑体"/>
          <w:kern w:val="0"/>
          <w:szCs w:val="21"/>
        </w:rPr>
        <w:t>4. 认证类别和级别划分</w:t>
      </w:r>
      <w:bookmarkEnd w:id="19"/>
    </w:p>
    <w:p>
      <w:pPr>
        <w:pStyle w:val="33"/>
        <w:spacing w:line="360" w:lineRule="auto"/>
        <w:ind w:firstLine="0" w:firstLineChars="0"/>
        <w:outlineLvl w:val="1"/>
        <w:rPr>
          <w:rFonts w:ascii="黑体" w:hAnsi="黑体" w:eastAsia="黑体" w:cs="黑体"/>
          <w:szCs w:val="21"/>
        </w:rPr>
      </w:pPr>
      <w:bookmarkStart w:id="20" w:name="_Toc6789"/>
      <w:r>
        <w:rPr>
          <w:rFonts w:hint="eastAsia" w:ascii="黑体" w:hAnsi="黑体" w:eastAsia="黑体" w:cs="黑体"/>
          <w:szCs w:val="21"/>
        </w:rPr>
        <w:t>4.1 认证类别</w:t>
      </w:r>
      <w:bookmarkEnd w:id="20"/>
    </w:p>
    <w:p>
      <w:pPr>
        <w:pStyle w:val="36"/>
        <w:adjustRightInd w:val="0"/>
        <w:snapToGrid w:val="0"/>
        <w:spacing w:before="158" w:beforeLines="50" w:line="360" w:lineRule="auto"/>
        <w:rPr>
          <w:kern w:val="0"/>
        </w:rPr>
      </w:pPr>
      <w:r>
        <w:rPr>
          <w:rFonts w:hint="eastAsia"/>
          <w:kern w:val="0"/>
        </w:rPr>
        <w:t>网络空间安全专业人员共分两个类别，包括管理类、技术类；涵盖以下方向：关键信息基础设施保护、重要数据保护、个人信息保护、网络安全管理、网络安全规划设计、软件安全开发、安全集成、安全运维、风险评估、应急处理、网络安全审计、工业控制系统安全、数据安全、物联网安全、云计算安全等。</w:t>
      </w:r>
    </w:p>
    <w:p>
      <w:pPr>
        <w:pStyle w:val="33"/>
        <w:spacing w:line="360" w:lineRule="auto"/>
        <w:ind w:firstLine="0" w:firstLineChars="0"/>
        <w:outlineLvl w:val="1"/>
        <w:rPr>
          <w:rFonts w:ascii="Times New Roman"/>
          <w:szCs w:val="21"/>
        </w:rPr>
      </w:pPr>
      <w:bookmarkStart w:id="21" w:name="_Toc8183"/>
      <w:r>
        <w:rPr>
          <w:rFonts w:hint="eastAsia" w:ascii="黑体" w:hAnsi="黑体" w:eastAsia="黑体" w:cs="黑体"/>
          <w:szCs w:val="21"/>
        </w:rPr>
        <w:t>4.2 级别划分</w:t>
      </w:r>
      <w:bookmarkEnd w:id="21"/>
    </w:p>
    <w:p>
      <w:pPr>
        <w:pStyle w:val="33"/>
        <w:spacing w:line="360" w:lineRule="auto"/>
        <w:ind w:firstLine="420"/>
        <w:rPr>
          <w:rFonts w:ascii="Times New Roman"/>
          <w:szCs w:val="21"/>
        </w:rPr>
      </w:pPr>
      <w:r>
        <w:rPr>
          <w:rFonts w:hint="eastAsia" w:ascii="Times New Roman"/>
          <w:szCs w:val="21"/>
        </w:rPr>
        <w:t>网络空间安全专业人员共设置四个级别，包括一级（初级）、二级（中级）、三级（高级）、四级（专家级），一级最低、四级最高。</w:t>
      </w:r>
    </w:p>
    <w:p>
      <w:pPr>
        <w:adjustRightInd w:val="0"/>
        <w:snapToGrid w:val="0"/>
        <w:spacing w:before="317" w:beforeLines="100" w:line="360" w:lineRule="auto"/>
        <w:outlineLvl w:val="0"/>
        <w:rPr>
          <w:rFonts w:ascii="黑体" w:hAnsi="黑体" w:eastAsia="黑体" w:cs="黑体"/>
          <w:kern w:val="0"/>
          <w:szCs w:val="21"/>
        </w:rPr>
      </w:pPr>
      <w:bookmarkStart w:id="22" w:name="_Toc2740"/>
      <w:r>
        <w:rPr>
          <w:rFonts w:hint="eastAsia" w:ascii="黑体" w:hAnsi="黑体" w:eastAsia="黑体" w:cs="黑体"/>
          <w:kern w:val="0"/>
          <w:szCs w:val="21"/>
        </w:rPr>
        <w:t>5. 认证通用要求</w:t>
      </w:r>
      <w:bookmarkEnd w:id="22"/>
    </w:p>
    <w:p>
      <w:pPr>
        <w:pStyle w:val="33"/>
        <w:spacing w:line="360" w:lineRule="auto"/>
        <w:ind w:firstLine="0" w:firstLineChars="0"/>
        <w:outlineLvl w:val="1"/>
        <w:rPr>
          <w:rFonts w:ascii="黑体" w:hAnsi="黑体" w:eastAsia="黑体" w:cs="黑体"/>
          <w:szCs w:val="21"/>
        </w:rPr>
      </w:pPr>
      <w:bookmarkStart w:id="23" w:name="_Toc23279"/>
      <w:r>
        <w:rPr>
          <w:rFonts w:hint="eastAsia" w:ascii="黑体" w:hAnsi="黑体" w:eastAsia="黑体" w:cs="黑体"/>
          <w:szCs w:val="21"/>
        </w:rPr>
        <w:t>5.1 基本要求</w:t>
      </w:r>
      <w:bookmarkEnd w:id="23"/>
    </w:p>
    <w:p>
      <w:pPr>
        <w:pStyle w:val="33"/>
        <w:spacing w:line="360" w:lineRule="auto"/>
        <w:ind w:firstLine="420"/>
        <w:rPr>
          <w:rFonts w:hAnsi="宋体"/>
          <w:szCs w:val="21"/>
        </w:rPr>
      </w:pPr>
      <w:r>
        <w:rPr>
          <w:rFonts w:hint="eastAsia" w:hAnsi="宋体"/>
          <w:szCs w:val="21"/>
        </w:rPr>
        <w:t>获证人员应满足如下基本要求；</w:t>
      </w:r>
    </w:p>
    <w:p>
      <w:pPr>
        <w:pStyle w:val="33"/>
        <w:spacing w:line="360" w:lineRule="auto"/>
        <w:ind w:firstLine="420"/>
        <w:rPr>
          <w:rFonts w:hAnsi="宋体"/>
          <w:szCs w:val="21"/>
        </w:rPr>
      </w:pPr>
      <w:r>
        <w:rPr>
          <w:rFonts w:hint="eastAsia" w:hAnsi="宋体"/>
          <w:szCs w:val="21"/>
        </w:rPr>
        <w:t xml:space="preserve">a) 具有独立的民事行为能力，具备承担法律责任的能力； </w:t>
      </w:r>
    </w:p>
    <w:p>
      <w:pPr>
        <w:pStyle w:val="33"/>
        <w:spacing w:line="360" w:lineRule="auto"/>
        <w:ind w:firstLine="420"/>
        <w:rPr>
          <w:rFonts w:hAnsi="宋体"/>
          <w:szCs w:val="21"/>
        </w:rPr>
      </w:pPr>
      <w:r>
        <w:rPr>
          <w:rFonts w:hint="eastAsia" w:hAnsi="宋体"/>
          <w:szCs w:val="21"/>
        </w:rPr>
        <w:t xml:space="preserve">b) 近三年内未受过刑事处罚； </w:t>
      </w:r>
    </w:p>
    <w:p>
      <w:pPr>
        <w:pStyle w:val="33"/>
        <w:spacing w:line="360" w:lineRule="auto"/>
        <w:ind w:firstLine="420"/>
        <w:rPr>
          <w:rFonts w:hAnsi="宋体"/>
          <w:szCs w:val="21"/>
        </w:rPr>
      </w:pPr>
      <w:r>
        <w:rPr>
          <w:rFonts w:hint="eastAsia" w:hAnsi="宋体"/>
          <w:szCs w:val="21"/>
        </w:rPr>
        <w:t>c) 遵守网络空间专业人员认证相关文件的规定；</w:t>
      </w:r>
    </w:p>
    <w:p>
      <w:pPr>
        <w:pStyle w:val="33"/>
        <w:spacing w:line="360" w:lineRule="auto"/>
        <w:ind w:firstLine="420"/>
        <w:rPr>
          <w:rFonts w:hAnsi="宋体"/>
          <w:szCs w:val="21"/>
        </w:rPr>
      </w:pPr>
      <w:r>
        <w:rPr>
          <w:rFonts w:hint="eastAsia" w:hAnsi="宋体"/>
          <w:szCs w:val="21"/>
        </w:rPr>
        <w:t>d) 符合有关法律法规的规定，不存在法律法规禁止从业的情形。</w:t>
      </w:r>
    </w:p>
    <w:p>
      <w:pPr>
        <w:pStyle w:val="33"/>
        <w:spacing w:line="360" w:lineRule="auto"/>
        <w:ind w:firstLine="0" w:firstLineChars="0"/>
        <w:outlineLvl w:val="1"/>
        <w:rPr>
          <w:rFonts w:ascii="Times New Roman"/>
          <w:szCs w:val="21"/>
        </w:rPr>
      </w:pPr>
      <w:bookmarkStart w:id="24" w:name="_Toc29657"/>
      <w:r>
        <w:rPr>
          <w:rFonts w:hint="eastAsia" w:ascii="Times New Roman"/>
          <w:szCs w:val="21"/>
        </w:rPr>
        <w:t>5</w:t>
      </w:r>
      <w:r>
        <w:rPr>
          <w:rFonts w:hint="eastAsia" w:ascii="黑体" w:hAnsi="黑体" w:eastAsia="黑体" w:cs="黑体"/>
          <w:szCs w:val="21"/>
        </w:rPr>
        <w:t>.2 初次申请资格要求</w:t>
      </w:r>
      <w:bookmarkEnd w:id="24"/>
    </w:p>
    <w:p>
      <w:pPr>
        <w:pStyle w:val="33"/>
        <w:spacing w:line="360" w:lineRule="auto"/>
        <w:ind w:firstLine="0" w:firstLineChars="0"/>
        <w:outlineLvl w:val="2"/>
        <w:rPr>
          <w:rFonts w:ascii="黑体" w:hAnsi="黑体" w:eastAsia="黑体" w:cs="黑体"/>
          <w:szCs w:val="21"/>
        </w:rPr>
      </w:pPr>
      <w:bookmarkStart w:id="25" w:name="_Toc22930"/>
      <w:bookmarkStart w:id="26" w:name="_Toc32034"/>
      <w:bookmarkStart w:id="27" w:name="_Toc9523"/>
      <w:bookmarkStart w:id="28" w:name="_Toc28111"/>
      <w:bookmarkStart w:id="29" w:name="_Toc7036"/>
      <w:r>
        <w:rPr>
          <w:rFonts w:hint="eastAsia" w:ascii="黑体" w:hAnsi="黑体" w:eastAsia="黑体" w:cs="黑体"/>
          <w:szCs w:val="21"/>
        </w:rPr>
        <w:t>5.2.1 教育及工作经历</w:t>
      </w:r>
      <w:bookmarkEnd w:id="25"/>
      <w:bookmarkEnd w:id="26"/>
      <w:bookmarkEnd w:id="27"/>
      <w:bookmarkEnd w:id="28"/>
      <w:bookmarkEnd w:id="29"/>
    </w:p>
    <w:p>
      <w:pPr>
        <w:pStyle w:val="33"/>
        <w:spacing w:line="360" w:lineRule="auto"/>
        <w:ind w:firstLine="0" w:firstLineChars="0"/>
        <w:rPr>
          <w:rFonts w:ascii="黑体" w:hAnsi="黑体" w:eastAsia="黑体" w:cs="黑体"/>
          <w:szCs w:val="21"/>
        </w:rPr>
      </w:pPr>
      <w:r>
        <w:rPr>
          <w:rFonts w:hint="eastAsia" w:ascii="黑体" w:hAnsi="黑体" w:eastAsia="黑体" w:cs="黑体"/>
          <w:szCs w:val="21"/>
        </w:rPr>
        <w:t>5.2.1.1 一级认证人员（初级）认证资格要求</w:t>
      </w:r>
    </w:p>
    <w:p>
      <w:pPr>
        <w:pStyle w:val="33"/>
        <w:spacing w:line="360" w:lineRule="auto"/>
        <w:ind w:firstLine="420"/>
        <w:rPr>
          <w:rFonts w:ascii="Times New Roman"/>
          <w:szCs w:val="21"/>
        </w:rPr>
      </w:pPr>
      <w:r>
        <w:rPr>
          <w:rFonts w:hint="eastAsia" w:ascii="Times New Roman"/>
          <w:szCs w:val="21"/>
        </w:rPr>
        <w:t xml:space="preserve">获证人员应满足下面要求： </w:t>
      </w:r>
    </w:p>
    <w:p>
      <w:pPr>
        <w:pStyle w:val="33"/>
        <w:spacing w:line="360" w:lineRule="auto"/>
        <w:ind w:firstLine="420"/>
        <w:rPr>
          <w:rFonts w:ascii="Times New Roman"/>
          <w:szCs w:val="21"/>
        </w:rPr>
      </w:pPr>
      <w:r>
        <w:rPr>
          <w:rFonts w:hint="eastAsia" w:ascii="Times New Roman"/>
          <w:szCs w:val="21"/>
        </w:rPr>
        <w:t>教育部发布的</w:t>
      </w:r>
      <w:r>
        <w:rPr>
          <w:rFonts w:ascii="Times New Roman"/>
          <w:szCs w:val="21"/>
        </w:rPr>
        <w:t>“</w:t>
      </w:r>
      <w:r>
        <w:rPr>
          <w:rFonts w:hint="eastAsia" w:ascii="Times New Roman"/>
          <w:szCs w:val="21"/>
        </w:rPr>
        <w:t>具有普通高等学历教育招生资格的高等学校名单</w:t>
      </w:r>
      <w:r>
        <w:rPr>
          <w:rFonts w:ascii="Times New Roman"/>
          <w:szCs w:val="21"/>
        </w:rPr>
        <w:t>”</w:t>
      </w:r>
      <w:r>
        <w:rPr>
          <w:rFonts w:hint="eastAsia" w:ascii="Times New Roman"/>
          <w:szCs w:val="21"/>
        </w:rPr>
        <w:t>中的院校的在校生、应届毕业生或全国研究生招生计划中研究生招生单位在校研究生、应届毕业生等。</w:t>
      </w:r>
    </w:p>
    <w:p>
      <w:pPr>
        <w:pStyle w:val="33"/>
        <w:spacing w:line="360" w:lineRule="auto"/>
        <w:ind w:firstLine="0" w:firstLineChars="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5.2.1.2 二级认证人员（中级）教育及工作经历要求</w:t>
      </w:r>
    </w:p>
    <w:p>
      <w:pPr>
        <w:pStyle w:val="33"/>
        <w:spacing w:line="360" w:lineRule="auto"/>
        <w:ind w:firstLine="420"/>
        <w:rPr>
          <w:rFonts w:hAnsi="宋体"/>
          <w:szCs w:val="21"/>
        </w:rPr>
      </w:pPr>
      <w:r>
        <w:rPr>
          <w:rFonts w:hint="eastAsia" w:hAnsi="宋体"/>
          <w:szCs w:val="21"/>
        </w:rPr>
        <w:t>专业要求：无专业要求限制。</w:t>
      </w:r>
    </w:p>
    <w:p>
      <w:pPr>
        <w:pStyle w:val="33"/>
        <w:spacing w:line="360" w:lineRule="auto"/>
        <w:ind w:firstLine="420"/>
        <w:rPr>
          <w:rFonts w:hAnsi="宋体"/>
          <w:szCs w:val="21"/>
        </w:rPr>
      </w:pPr>
      <w:r>
        <w:rPr>
          <w:rFonts w:hint="eastAsia" w:hAnsi="宋体"/>
          <w:szCs w:val="21"/>
        </w:rPr>
        <w:t xml:space="preserve">获证人员工作经历应至少满足下面一项要求： </w:t>
      </w:r>
    </w:p>
    <w:p>
      <w:pPr>
        <w:pStyle w:val="33"/>
        <w:spacing w:line="360" w:lineRule="auto"/>
        <w:ind w:firstLine="420"/>
        <w:rPr>
          <w:rFonts w:hAnsi="宋体"/>
          <w:szCs w:val="21"/>
        </w:rPr>
      </w:pPr>
      <w:r>
        <w:rPr>
          <w:rFonts w:hint="eastAsia" w:hAnsi="宋体"/>
          <w:szCs w:val="21"/>
        </w:rPr>
        <w:t xml:space="preserve">a) 本科（含）以上学历， 1年以上从事网络空间安全有关工作经历； </w:t>
      </w:r>
    </w:p>
    <w:p>
      <w:pPr>
        <w:pStyle w:val="33"/>
        <w:spacing w:line="360" w:lineRule="auto"/>
        <w:ind w:firstLine="420"/>
        <w:rPr>
          <w:rFonts w:hAnsi="宋体"/>
          <w:szCs w:val="21"/>
        </w:rPr>
      </w:pPr>
      <w:r>
        <w:rPr>
          <w:rFonts w:hint="eastAsia" w:hAnsi="宋体"/>
          <w:szCs w:val="21"/>
        </w:rPr>
        <w:t xml:space="preserve">b) 专科毕业，2年以上从事网络空间安全有关的工作经历； </w:t>
      </w:r>
    </w:p>
    <w:p>
      <w:pPr>
        <w:pStyle w:val="33"/>
        <w:spacing w:line="360" w:lineRule="auto"/>
        <w:ind w:firstLine="420"/>
        <w:rPr>
          <w:rFonts w:hAnsi="宋体"/>
          <w:szCs w:val="21"/>
        </w:rPr>
      </w:pPr>
      <w:r>
        <w:rPr>
          <w:rFonts w:hint="eastAsia" w:hAnsi="宋体"/>
          <w:szCs w:val="21"/>
        </w:rPr>
        <w:t>c) 中等专科毕业，4年以上从事网络空间安全有关的工作经历；</w:t>
      </w:r>
    </w:p>
    <w:p>
      <w:pPr>
        <w:pStyle w:val="33"/>
        <w:spacing w:line="360" w:lineRule="auto"/>
        <w:ind w:firstLine="420"/>
        <w:rPr>
          <w:rFonts w:hAnsi="宋体"/>
          <w:szCs w:val="21"/>
        </w:rPr>
      </w:pPr>
      <w:r>
        <w:rPr>
          <w:rFonts w:hint="eastAsia" w:hAnsi="宋体"/>
          <w:szCs w:val="21"/>
        </w:rPr>
        <w:t xml:space="preserve">d) 具有丰富的项目经验，5年以上从事网络空间安全有关的工作经历。 </w:t>
      </w:r>
    </w:p>
    <w:p>
      <w:pPr>
        <w:pStyle w:val="33"/>
        <w:spacing w:line="360" w:lineRule="auto"/>
        <w:ind w:firstLine="0" w:firstLineChars="0"/>
        <w:rPr>
          <w:rFonts w:ascii="黑体" w:hAnsi="黑体" w:eastAsia="黑体" w:cs="黑体"/>
          <w:szCs w:val="21"/>
        </w:rPr>
      </w:pPr>
      <w:r>
        <w:rPr>
          <w:rFonts w:hint="eastAsia" w:ascii="黑体" w:hAnsi="黑体" w:eastAsia="黑体" w:cs="黑体"/>
          <w:szCs w:val="21"/>
        </w:rPr>
        <w:t>5.2.1.3.三级认证人员（高级）教育及工作经历要求</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专业要求：网络空间安全、信息安全、通讯、计算机相关或相近专业，非以上专业的人员，需首先通过二级人员认证。</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获证人员工作经历应至少满足下面一项要求：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a) 硕士研究生（含）以上学历， 2年以上从事网络空间安全有关工作经历，其中至少1年以上项目经理经验；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b) 本科毕业，4年以上从事网络空间安全相关工作经历，其中至少2年以上项目经理经验；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c) 专科毕业，5年以上从事网络空间安全有关工作经历，其中至少2年以上项目经理经验；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d) 7年以上从事网络空间安全有关工作经历，其中至少2年以上项目经理经验。 </w:t>
      </w:r>
    </w:p>
    <w:p>
      <w:pPr>
        <w:pStyle w:val="33"/>
        <w:spacing w:line="360" w:lineRule="auto"/>
        <w:ind w:firstLine="0" w:firstLineChars="0"/>
        <w:rPr>
          <w:rFonts w:ascii="黑体" w:hAnsi="黑体" w:eastAsia="黑体" w:cs="黑体"/>
          <w:szCs w:val="21"/>
        </w:rPr>
      </w:pPr>
      <w:r>
        <w:rPr>
          <w:rFonts w:hint="eastAsia" w:ascii="黑体" w:hAnsi="黑体" w:eastAsia="黑体" w:cs="黑体"/>
          <w:szCs w:val="21"/>
        </w:rPr>
        <w:t>5.2.1.4.四级认证人员（专家级）申请资格要求</w:t>
      </w:r>
    </w:p>
    <w:p>
      <w:pPr>
        <w:pStyle w:val="33"/>
        <w:spacing w:line="360" w:lineRule="auto"/>
        <w:ind w:firstLine="0" w:firstLineChars="0"/>
        <w:rPr>
          <w:rFonts w:ascii="黑体" w:hAnsi="黑体" w:eastAsia="黑体" w:cs="黑体"/>
          <w:szCs w:val="21"/>
        </w:rPr>
      </w:pPr>
      <w:r>
        <w:rPr>
          <w:rFonts w:hint="eastAsia" w:ascii="黑体" w:hAnsi="黑体" w:eastAsia="黑体" w:cs="黑体"/>
          <w:szCs w:val="21"/>
        </w:rPr>
        <w:t>5.2.1.4.1 四级认证人员（专家级）教育与工作经历要求</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专业要求：网络空间安全、信息安全、通讯、计算机相关或相近专业；</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获证人员工作经历应至少满足下面一项要求：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a) 硕士研究生（含）以上学历， 4年以上从事网络空间安全有关工作经历，其中至少2年项目经理经验；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b) 本科毕业，6年以上从事网络空间安全相关工作经历，其中3年项目经理经验；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 xml:space="preserve">c) 专科毕业，8年以上从事网络空间安全有关工作经历，其中至少3年项目经理经验；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d) 9年以上从事网络空间安全有关工作经历，其中至少3年项目经理经验。</w:t>
      </w:r>
    </w:p>
    <w:p>
      <w:pPr>
        <w:pStyle w:val="33"/>
        <w:spacing w:line="360" w:lineRule="auto"/>
        <w:ind w:firstLine="0" w:firstLineChars="0"/>
        <w:rPr>
          <w:rFonts w:ascii="黑体" w:hAnsi="黑体" w:cs="黑体"/>
          <w:szCs w:val="21"/>
        </w:rPr>
      </w:pPr>
      <w:r>
        <w:rPr>
          <w:rFonts w:hint="eastAsia" w:ascii="黑体" w:hAnsi="黑体" w:eastAsia="黑体" w:cs="黑体"/>
          <w:szCs w:val="21"/>
        </w:rPr>
        <w:t>5.2.1.4.2 四级认证人员（专家级）</w:t>
      </w:r>
      <w:r>
        <w:rPr>
          <w:rFonts w:hint="eastAsia" w:ascii="Times New Roman"/>
          <w:szCs w:val="21"/>
        </w:rPr>
        <w:t>技能、职称、学术成果要求</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技能、职称、学术成果要求至少满足下面一项要求： </w:t>
      </w:r>
    </w:p>
    <w:p>
      <w:pPr>
        <w:numPr>
          <w:ilvl w:val="0"/>
          <w:numId w:val="4"/>
        </w:numPr>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入选全国网络空间安全领军人才、国家或省网络空间安全专家库、全国“网络空间安全人才工程”百名高层次人才培养人选并继续从事本专业技术工作满1年者；</w:t>
      </w:r>
    </w:p>
    <w:p>
      <w:pPr>
        <w:numPr>
          <w:ilvl w:val="0"/>
          <w:numId w:val="4"/>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担任国家、省网络空间安全专家咨询委员会专家；</w:t>
      </w:r>
    </w:p>
    <w:p>
      <w:pPr>
        <w:numPr>
          <w:ilvl w:val="0"/>
          <w:numId w:val="4"/>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经国家、省、部批准的有突出贡献的中、青年科学技术专家；</w:t>
      </w:r>
    </w:p>
    <w:p>
      <w:pPr>
        <w:numPr>
          <w:ilvl w:val="0"/>
          <w:numId w:val="4"/>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作为主要完成人，获得省（部）级以上科学技术奖项，或有关部门确认的相当等级的奖项；</w:t>
      </w:r>
    </w:p>
    <w:p>
      <w:pPr>
        <w:numPr>
          <w:ilvl w:val="0"/>
          <w:numId w:val="4"/>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直接负责（技术负责）完成国家或省（部）级重大项目的研究、设计或生产的产品、施工技术、工艺达到当时国内领先水平，并取得明显的技术经济效益、社会效益，得到省部级有关部门的鉴定认可；</w:t>
      </w:r>
    </w:p>
    <w:p>
      <w:pPr>
        <w:numPr>
          <w:ilvl w:val="0"/>
          <w:numId w:val="4"/>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具有网络空间安全、信息技术相关专业的高级技术职称（含副高）;</w:t>
      </w:r>
    </w:p>
    <w:p>
      <w:pPr>
        <w:numPr>
          <w:ilvl w:val="0"/>
          <w:numId w:val="4"/>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参加省（部）级以上政府部门、省级社会组织主办的网络空间安全技能竞赛获三等奖以上。</w:t>
      </w:r>
    </w:p>
    <w:p>
      <w:pPr>
        <w:spacing w:line="360" w:lineRule="auto"/>
        <w:rPr>
          <w:rFonts w:ascii="黑体" w:hAnsi="黑体" w:eastAsia="黑体" w:cs="黑体"/>
          <w:color w:val="000000"/>
          <w:kern w:val="44"/>
          <w:szCs w:val="21"/>
        </w:rPr>
      </w:pPr>
      <w:r>
        <w:rPr>
          <w:rFonts w:hint="eastAsia" w:ascii="黑体" w:hAnsi="黑体" w:eastAsia="黑体" w:cs="黑体"/>
          <w:color w:val="000000"/>
          <w:kern w:val="44"/>
          <w:szCs w:val="21"/>
        </w:rPr>
        <w:t>5.2.1.6  其他要求</w:t>
      </w:r>
    </w:p>
    <w:p>
      <w:pPr>
        <w:spacing w:line="360" w:lineRule="auto"/>
        <w:ind w:firstLine="420" w:firstLineChars="200"/>
        <w:rPr>
          <w:rFonts w:ascii="宋体" w:hAnsi="宋体" w:eastAsia="宋体" w:cs="宋体"/>
          <w:color w:val="000000"/>
          <w:kern w:val="44"/>
          <w:szCs w:val="21"/>
        </w:rPr>
      </w:pPr>
      <w:r>
        <w:rPr>
          <w:rFonts w:hint="eastAsia" w:ascii="宋体" w:hAnsi="宋体" w:eastAsia="宋体" w:cs="宋体"/>
          <w:color w:val="000000"/>
          <w:kern w:val="44"/>
          <w:szCs w:val="21"/>
        </w:rPr>
        <w:t>除5.2.1.1-5.2.1.5外的其他要求：</w:t>
      </w:r>
    </w:p>
    <w:p>
      <w:pPr>
        <w:numPr>
          <w:ilvl w:val="0"/>
          <w:numId w:val="5"/>
        </w:numPr>
        <w:spacing w:line="360" w:lineRule="auto"/>
        <w:ind w:firstLine="420" w:firstLineChars="200"/>
        <w:rPr>
          <w:rFonts w:ascii="宋体" w:hAnsi="宋体" w:eastAsia="宋体" w:cs="Times New Roman"/>
          <w:kern w:val="0"/>
          <w:szCs w:val="21"/>
        </w:rPr>
      </w:pPr>
      <w:bookmarkStart w:id="30" w:name="_Toc7084"/>
      <w:bookmarkStart w:id="31" w:name="_Toc20697"/>
      <w:bookmarkStart w:id="32" w:name="_Toc30362"/>
      <w:r>
        <w:rPr>
          <w:rFonts w:hint="eastAsia" w:ascii="宋体" w:hAnsi="宋体" w:eastAsia="宋体" w:cs="Times New Roman"/>
          <w:kern w:val="0"/>
          <w:szCs w:val="21"/>
        </w:rPr>
        <w:t>满足评定要求的工作经历应在取得相应学历后获得；</w:t>
      </w:r>
    </w:p>
    <w:p>
      <w:pPr>
        <w:numPr>
          <w:ilvl w:val="0"/>
          <w:numId w:val="5"/>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申请人应提交工作经历的书面证明，证明中应提供申请人从事的工作</w:t>
      </w:r>
      <w:r>
        <w:rPr>
          <w:rFonts w:ascii="宋体" w:hAnsi="宋体" w:eastAsia="宋体" w:cs="Times New Roman"/>
          <w:kern w:val="0"/>
          <w:szCs w:val="21"/>
        </w:rPr>
        <w:t>职责、岗位、级别和主要工作内容</w:t>
      </w:r>
      <w:r>
        <w:rPr>
          <w:rFonts w:hint="eastAsia" w:ascii="宋体" w:hAnsi="宋体" w:eastAsia="宋体" w:cs="Times New Roman"/>
          <w:kern w:val="0"/>
          <w:szCs w:val="21"/>
        </w:rPr>
        <w:t>；</w:t>
      </w:r>
    </w:p>
    <w:p>
      <w:pPr>
        <w:numPr>
          <w:ilvl w:val="0"/>
          <w:numId w:val="5"/>
        </w:numPr>
        <w:spacing w:line="360" w:lineRule="auto"/>
        <w:ind w:firstLine="420" w:firstLineChars="200"/>
        <w:rPr>
          <w:rFonts w:ascii="宋体" w:hAnsi="宋体" w:eastAsia="宋体" w:cs="Times New Roman"/>
          <w:kern w:val="0"/>
          <w:szCs w:val="21"/>
        </w:rPr>
      </w:pPr>
      <w:r>
        <w:rPr>
          <w:rFonts w:ascii="宋体" w:hAnsi="宋体" w:eastAsia="宋体" w:cs="Times New Roman"/>
          <w:kern w:val="0"/>
          <w:szCs w:val="21"/>
        </w:rPr>
        <w:t>实习经历不能包括在工作经历内</w:t>
      </w:r>
      <w:r>
        <w:rPr>
          <w:rFonts w:hint="eastAsia" w:ascii="宋体" w:hAnsi="宋体" w:eastAsia="宋体" w:cs="Times New Roman"/>
          <w:kern w:val="0"/>
          <w:szCs w:val="21"/>
        </w:rPr>
        <w:t>；</w:t>
      </w:r>
    </w:p>
    <w:p>
      <w:pPr>
        <w:numPr>
          <w:ilvl w:val="0"/>
          <w:numId w:val="5"/>
        </w:num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具有网络空间安全特殊能力的人才不受学历、职称、工作经历等条件限制，可直接申请相应级别认证。</w:t>
      </w:r>
    </w:p>
    <w:p>
      <w:pPr>
        <w:spacing w:line="360" w:lineRule="auto"/>
        <w:outlineLvl w:val="2"/>
        <w:rPr>
          <w:rFonts w:ascii="Times New Roman" w:hAnsi="Times New Roman" w:eastAsia="宋体" w:cs="Times New Roman"/>
          <w:kern w:val="0"/>
          <w:szCs w:val="21"/>
        </w:rPr>
      </w:pPr>
      <w:bookmarkStart w:id="33" w:name="_Toc15773"/>
      <w:bookmarkStart w:id="34" w:name="_Toc24540"/>
      <w:r>
        <w:rPr>
          <w:rFonts w:hint="eastAsia" w:ascii="黑体" w:hAnsi="黑体" w:eastAsia="黑体" w:cs="黑体"/>
          <w:szCs w:val="21"/>
        </w:rPr>
        <w:t>5.2.2 考试要求</w:t>
      </w:r>
      <w:bookmarkEnd w:id="30"/>
      <w:bookmarkEnd w:id="31"/>
      <w:bookmarkEnd w:id="32"/>
      <w:bookmarkEnd w:id="33"/>
      <w:bookmarkEnd w:id="34"/>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获证人员应满足下面要求： </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a) 通过其申请的相应认证类别和级别的考试，包括笔试和实操（必要时）； </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b) 必要时，通过由第三方认证或评估机构组织的专家面试； </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c) 必要时，通过由第三方认证或评估机构组织的工作现场见证； </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d）一级认证人员需要掌握附录B网络空间安全专业人员认证通用知识要求”中所要求的知识，且通过相应的考试；</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e）二级、三级认证人员分类别和专业方向，各类别专业方向人员须掌握附录（C~O）中对应方向要求的知识，且通过相应的考试；</w:t>
      </w:r>
    </w:p>
    <w:p>
      <w:pPr>
        <w:spacing w:line="360" w:lineRule="auto"/>
        <w:ind w:left="630" w:leftChars="200" w:hanging="210" w:hangingChars="100"/>
        <w:rPr>
          <w:rFonts w:ascii="宋体" w:hAnsi="宋体" w:eastAsia="宋体" w:cs="Times New Roman"/>
          <w:kern w:val="0"/>
          <w:szCs w:val="21"/>
        </w:rPr>
      </w:pPr>
      <w:r>
        <w:rPr>
          <w:rFonts w:hint="eastAsia" w:ascii="宋体" w:hAnsi="宋体" w:eastAsia="宋体" w:cs="Times New Roman"/>
          <w:kern w:val="0"/>
          <w:szCs w:val="21"/>
        </w:rPr>
        <w:t>f）四级认证人员为资历评定，学历、工作经历、技能、职称、学术成果符合条款5</w:t>
      </w:r>
      <w:r>
        <w:rPr>
          <w:rFonts w:ascii="宋体" w:hAnsi="宋体" w:eastAsia="宋体" w:cs="Times New Roman"/>
          <w:kern w:val="0"/>
          <w:szCs w:val="21"/>
        </w:rPr>
        <w:t>.2.1.</w:t>
      </w:r>
      <w:r>
        <w:rPr>
          <w:rFonts w:hint="eastAsia" w:ascii="宋体" w:hAnsi="宋体" w:eastAsia="宋体" w:cs="Times New Roman"/>
          <w:kern w:val="0"/>
          <w:szCs w:val="21"/>
        </w:rPr>
        <w:t>4的条件即可申请，无考试要求。</w:t>
      </w:r>
    </w:p>
    <w:p>
      <w:pPr>
        <w:spacing w:line="360" w:lineRule="auto"/>
        <w:outlineLvl w:val="1"/>
        <w:rPr>
          <w:rFonts w:ascii="黑体" w:hAnsi="黑体" w:eastAsia="黑体" w:cs="黑体"/>
          <w:color w:val="000000"/>
          <w:kern w:val="44"/>
          <w:szCs w:val="21"/>
        </w:rPr>
      </w:pPr>
      <w:bookmarkStart w:id="35" w:name="_Toc27022"/>
      <w:r>
        <w:rPr>
          <w:rFonts w:hint="eastAsia" w:ascii="黑体" w:hAnsi="黑体" w:eastAsia="黑体" w:cs="黑体"/>
          <w:color w:val="000000"/>
          <w:kern w:val="44"/>
          <w:szCs w:val="21"/>
        </w:rPr>
        <w:t>5.3 再认证资格要求</w:t>
      </w:r>
      <w:bookmarkEnd w:id="35"/>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1）已通过网络空间安全专业人员认证，且在认证有效期内；</w:t>
      </w:r>
    </w:p>
    <w:p>
      <w:pPr>
        <w:spacing w:line="360" w:lineRule="auto"/>
        <w:ind w:firstLine="420" w:firstLineChars="200"/>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）获证后</w:t>
      </w:r>
      <w:r>
        <w:rPr>
          <w:rFonts w:ascii="宋体" w:hAnsi="宋体" w:eastAsia="宋体" w:cs="Times New Roman"/>
          <w:kern w:val="0"/>
          <w:szCs w:val="21"/>
        </w:rPr>
        <w:t>3</w:t>
      </w:r>
      <w:r>
        <w:rPr>
          <w:rFonts w:hint="eastAsia" w:ascii="宋体" w:hAnsi="宋体" w:eastAsia="宋体" w:cs="Times New Roman"/>
          <w:kern w:val="0"/>
          <w:szCs w:val="21"/>
        </w:rPr>
        <w:t>年内至少有网络空间安全、信息安全的工作经历；</w:t>
      </w:r>
    </w:p>
    <w:p>
      <w:pPr>
        <w:spacing w:line="360" w:lineRule="auto"/>
        <w:ind w:firstLine="420" w:firstLineChars="200"/>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）每年不少于</w:t>
      </w:r>
      <w:r>
        <w:rPr>
          <w:rFonts w:ascii="宋体" w:hAnsi="宋体" w:eastAsia="宋体" w:cs="Times New Roman"/>
          <w:kern w:val="0"/>
          <w:szCs w:val="21"/>
        </w:rPr>
        <w:t>16</w:t>
      </w:r>
      <w:r>
        <w:rPr>
          <w:rFonts w:hint="eastAsia" w:ascii="宋体" w:hAnsi="宋体" w:eastAsia="宋体" w:cs="Times New Roman"/>
          <w:kern w:val="0"/>
          <w:szCs w:val="21"/>
        </w:rPr>
        <w:t>课时的网络空间安全相关专业的继续教育课程学习。</w:t>
      </w:r>
    </w:p>
    <w:p>
      <w:pPr>
        <w:spacing w:line="360" w:lineRule="auto"/>
        <w:outlineLvl w:val="1"/>
        <w:rPr>
          <w:rFonts w:ascii="黑体" w:hAnsi="黑体" w:eastAsia="黑体" w:cs="黑体"/>
          <w:color w:val="000000"/>
          <w:kern w:val="44"/>
          <w:szCs w:val="21"/>
        </w:rPr>
      </w:pPr>
      <w:bookmarkStart w:id="36" w:name="_Toc28150"/>
      <w:r>
        <w:rPr>
          <w:rFonts w:hint="eastAsia" w:ascii="黑体" w:hAnsi="黑体" w:eastAsia="黑体" w:cs="黑体"/>
          <w:color w:val="000000"/>
          <w:kern w:val="44"/>
          <w:szCs w:val="21"/>
        </w:rPr>
        <w:t>5.4 认证升级资格要求</w:t>
      </w:r>
      <w:bookmarkEnd w:id="36"/>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获证人员应满足下面要求： </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1) 已通过网络空间安全专业人员认证，且在认证有效期内； </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2) 满足网络空间安全专业人员高一级别认证要求，包括工作经历、培训和考试要求。</w:t>
      </w:r>
    </w:p>
    <w:p>
      <w:pPr>
        <w:spacing w:line="360" w:lineRule="auto"/>
        <w:outlineLvl w:val="0"/>
        <w:rPr>
          <w:rFonts w:ascii="黑体" w:hAnsi="黑体" w:eastAsia="黑体" w:cs="黑体"/>
          <w:color w:val="000000"/>
          <w:kern w:val="44"/>
          <w:szCs w:val="21"/>
        </w:rPr>
      </w:pPr>
      <w:bookmarkStart w:id="37" w:name="_Toc19060"/>
      <w:r>
        <w:rPr>
          <w:rFonts w:hint="eastAsia" w:ascii="黑体" w:hAnsi="黑体" w:eastAsia="黑体" w:cs="黑体"/>
          <w:color w:val="000000"/>
          <w:kern w:val="44"/>
          <w:szCs w:val="21"/>
        </w:rPr>
        <w:t>6. 认证评价</w:t>
      </w:r>
      <w:bookmarkEnd w:id="37"/>
    </w:p>
    <w:p>
      <w:pPr>
        <w:spacing w:line="360" w:lineRule="auto"/>
        <w:outlineLvl w:val="1"/>
        <w:rPr>
          <w:rFonts w:ascii="黑体" w:hAnsi="黑体" w:eastAsia="黑体" w:cs="黑体"/>
          <w:color w:val="000000" w:themeColor="text1"/>
          <w:szCs w:val="21"/>
          <w14:textFill>
            <w14:solidFill>
              <w14:schemeClr w14:val="tx1"/>
            </w14:solidFill>
          </w14:textFill>
        </w:rPr>
      </w:pPr>
      <w:bookmarkStart w:id="38" w:name="_Toc19784"/>
      <w:r>
        <w:rPr>
          <w:rFonts w:hint="eastAsia" w:ascii="黑体" w:hAnsi="黑体" w:eastAsia="黑体" w:cs="黑体"/>
          <w:color w:val="000000"/>
          <w:kern w:val="44"/>
          <w:szCs w:val="21"/>
        </w:rPr>
        <w:t>6.1 认证评价方式</w:t>
      </w:r>
      <w:bookmarkEnd w:id="38"/>
    </w:p>
    <w:p>
      <w:pPr>
        <w:spacing w:line="360" w:lineRule="auto"/>
        <w:ind w:firstLine="420" w:firstLineChars="200"/>
        <w:rPr>
          <w:rFonts w:ascii="Times New Roman" w:hAnsi="Times New Roman" w:eastAsia="宋体" w:cs="Times New Roman"/>
          <w:kern w:val="0"/>
          <w:szCs w:val="21"/>
        </w:rPr>
      </w:pPr>
      <w:bookmarkStart w:id="39" w:name="_Toc3463"/>
      <w:bookmarkStart w:id="40" w:name="_Toc5156"/>
      <w:r>
        <w:rPr>
          <w:rFonts w:hint="eastAsia" w:ascii="Times New Roman" w:hAnsi="Times New Roman" w:eastAsia="宋体" w:cs="Times New Roman"/>
          <w:kern w:val="0"/>
          <w:szCs w:val="21"/>
        </w:rPr>
        <w:t xml:space="preserve">书面考试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书面评价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面试（必要时）</w:t>
      </w:r>
    </w:p>
    <w:p>
      <w:pPr>
        <w:spacing w:line="360" w:lineRule="auto"/>
        <w:outlineLvl w:val="1"/>
        <w:rPr>
          <w:rFonts w:ascii="黑体" w:hAnsi="黑体" w:eastAsia="黑体" w:cs="黑体"/>
          <w:color w:val="000000" w:themeColor="text1"/>
          <w:szCs w:val="21"/>
          <w14:textFill>
            <w14:solidFill>
              <w14:schemeClr w14:val="tx1"/>
            </w14:solidFill>
          </w14:textFill>
        </w:rPr>
      </w:pPr>
      <w:bookmarkStart w:id="41" w:name="_Toc15255"/>
      <w:r>
        <w:rPr>
          <w:rFonts w:hint="eastAsia" w:ascii="黑体" w:hAnsi="黑体" w:eastAsia="黑体" w:cs="黑体"/>
          <w:color w:val="000000"/>
          <w:kern w:val="44"/>
          <w:szCs w:val="21"/>
        </w:rPr>
        <w:t>6.2 书面考试</w:t>
      </w:r>
      <w:bookmarkEnd w:id="39"/>
      <w:bookmarkEnd w:id="40"/>
      <w:bookmarkEnd w:id="41"/>
    </w:p>
    <w:p>
      <w:pPr>
        <w:spacing w:line="360" w:lineRule="auto"/>
        <w:ind w:firstLine="420" w:firstLineChars="200"/>
        <w:rPr>
          <w:rFonts w:ascii="Songti SC Light" w:hAnsi="Songti SC Light" w:eastAsia="Songti SC Light"/>
          <w:color w:val="000000" w:themeColor="text1"/>
          <w:szCs w:val="21"/>
          <w14:textFill>
            <w14:solidFill>
              <w14:schemeClr w14:val="tx1"/>
            </w14:solidFill>
          </w14:textFill>
        </w:rPr>
      </w:pPr>
      <w:r>
        <w:rPr>
          <w:rFonts w:hint="eastAsia" w:ascii="Times New Roman" w:hAnsi="Times New Roman" w:eastAsia="宋体" w:cs="Times New Roman"/>
          <w:kern w:val="0"/>
          <w:szCs w:val="21"/>
        </w:rPr>
        <w:t>申请人员可参加第三方认证机构组织的相应级别的书面考试，考试大纲见附件（C-K）要求。</w:t>
      </w:r>
    </w:p>
    <w:p>
      <w:pPr>
        <w:spacing w:line="360" w:lineRule="auto"/>
        <w:outlineLvl w:val="1"/>
        <w:rPr>
          <w:rFonts w:ascii="黑体" w:hAnsi="黑体" w:eastAsia="黑体" w:cs="黑体"/>
          <w:color w:val="000000"/>
          <w:kern w:val="44"/>
          <w:szCs w:val="21"/>
        </w:rPr>
      </w:pPr>
      <w:bookmarkStart w:id="42" w:name="_Toc3382"/>
      <w:r>
        <w:rPr>
          <w:rFonts w:hint="eastAsia" w:ascii="黑体" w:hAnsi="黑体" w:eastAsia="黑体" w:cs="黑体"/>
          <w:color w:val="000000"/>
          <w:kern w:val="44"/>
          <w:szCs w:val="21"/>
        </w:rPr>
        <w:t>6.3 书面评价</w:t>
      </w:r>
      <w:bookmarkEnd w:id="42"/>
    </w:p>
    <w:p>
      <w:pPr>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6.3.1 </w:t>
      </w:r>
      <w:r>
        <w:rPr>
          <w:rFonts w:ascii="宋体" w:hAnsi="宋体" w:eastAsia="宋体" w:cs="Times New Roman"/>
          <w:kern w:val="0"/>
          <w:szCs w:val="21"/>
        </w:rPr>
        <w:t>满足</w:t>
      </w:r>
      <w:r>
        <w:rPr>
          <w:rFonts w:hint="eastAsia" w:ascii="宋体" w:hAnsi="宋体" w:eastAsia="宋体" w:cs="Times New Roman"/>
          <w:kern w:val="0"/>
          <w:szCs w:val="21"/>
        </w:rPr>
        <w:t>一级认</w:t>
      </w:r>
      <w:r>
        <w:rPr>
          <w:rFonts w:ascii="宋体" w:hAnsi="宋体" w:eastAsia="宋体" w:cs="Times New Roman"/>
          <w:kern w:val="0"/>
          <w:szCs w:val="21"/>
        </w:rPr>
        <w:t>证要求的</w:t>
      </w:r>
      <w:r>
        <w:rPr>
          <w:rFonts w:hint="eastAsia" w:ascii="宋体" w:hAnsi="宋体" w:eastAsia="宋体" w:cs="Times New Roman"/>
          <w:kern w:val="0"/>
          <w:szCs w:val="21"/>
        </w:rPr>
        <w:t>网络空间安全从业人员，</w:t>
      </w:r>
      <w:r>
        <w:rPr>
          <w:rFonts w:ascii="宋体" w:hAnsi="宋体" w:eastAsia="宋体" w:cs="Times New Roman"/>
          <w:kern w:val="0"/>
          <w:szCs w:val="21"/>
        </w:rPr>
        <w:t>提交认证</w:t>
      </w:r>
      <w:r>
        <w:rPr>
          <w:rFonts w:hint="eastAsia" w:ascii="宋体" w:hAnsi="宋体" w:eastAsia="宋体" w:cs="Times New Roman"/>
          <w:kern w:val="0"/>
          <w:szCs w:val="21"/>
        </w:rPr>
        <w:t>的</w:t>
      </w:r>
      <w:r>
        <w:rPr>
          <w:rFonts w:ascii="宋体" w:hAnsi="宋体" w:eastAsia="宋体" w:cs="Times New Roman"/>
          <w:kern w:val="0"/>
          <w:szCs w:val="21"/>
        </w:rPr>
        <w:t>申请材料，包括</w:t>
      </w:r>
      <w:r>
        <w:rPr>
          <w:rFonts w:hint="eastAsia" w:ascii="宋体" w:hAnsi="宋体" w:eastAsia="宋体" w:cs="Times New Roman"/>
          <w:kern w:val="0"/>
          <w:szCs w:val="21"/>
        </w:rPr>
        <w:t>但不限于学籍注册</w:t>
      </w:r>
      <w:r>
        <w:rPr>
          <w:rFonts w:ascii="宋体" w:hAnsi="宋体" w:eastAsia="宋体" w:cs="Times New Roman"/>
          <w:kern w:val="0"/>
          <w:szCs w:val="21"/>
        </w:rPr>
        <w:t>证明、身份证明、考试</w:t>
      </w:r>
      <w:r>
        <w:rPr>
          <w:rFonts w:hint="eastAsia" w:ascii="宋体" w:hAnsi="宋体" w:eastAsia="宋体" w:cs="Times New Roman"/>
          <w:kern w:val="0"/>
          <w:szCs w:val="21"/>
        </w:rPr>
        <w:t>合格证明、工作经历</w:t>
      </w:r>
      <w:r>
        <w:rPr>
          <w:rFonts w:ascii="宋体" w:hAnsi="宋体" w:eastAsia="宋体" w:cs="Times New Roman"/>
          <w:kern w:val="0"/>
          <w:szCs w:val="21"/>
        </w:rPr>
        <w:t>等资格证明材料</w:t>
      </w:r>
      <w:r>
        <w:rPr>
          <w:rFonts w:hint="eastAsia" w:ascii="宋体" w:hAnsi="宋体" w:eastAsia="宋体" w:cs="Times New Roman"/>
          <w:kern w:val="0"/>
          <w:szCs w:val="21"/>
        </w:rPr>
        <w:t>；</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6.3.2 </w:t>
      </w:r>
      <w:r>
        <w:rPr>
          <w:rFonts w:ascii="宋体" w:hAnsi="宋体" w:eastAsia="宋体" w:cs="Times New Roman"/>
          <w:kern w:val="0"/>
          <w:szCs w:val="21"/>
        </w:rPr>
        <w:t>满足认证</w:t>
      </w:r>
      <w:r>
        <w:rPr>
          <w:rFonts w:hint="eastAsia" w:ascii="宋体" w:hAnsi="宋体" w:eastAsia="宋体" w:cs="Times New Roman"/>
          <w:kern w:val="0"/>
          <w:szCs w:val="21"/>
        </w:rPr>
        <w:t>其他级别和类别</w:t>
      </w:r>
      <w:r>
        <w:rPr>
          <w:rFonts w:ascii="宋体" w:hAnsi="宋体" w:eastAsia="宋体" w:cs="Times New Roman"/>
          <w:kern w:val="0"/>
          <w:szCs w:val="21"/>
        </w:rPr>
        <w:t>要求</w:t>
      </w:r>
      <w:r>
        <w:rPr>
          <w:rFonts w:hint="eastAsia" w:ascii="宋体" w:hAnsi="宋体" w:eastAsia="宋体" w:cs="Times New Roman"/>
          <w:kern w:val="0"/>
          <w:szCs w:val="21"/>
        </w:rPr>
        <w:t>的网络空间安全人员</w:t>
      </w:r>
      <w:r>
        <w:rPr>
          <w:rFonts w:ascii="宋体" w:hAnsi="宋体" w:eastAsia="宋体" w:cs="Times New Roman"/>
          <w:kern w:val="0"/>
          <w:szCs w:val="21"/>
        </w:rPr>
        <w:t>提交</w:t>
      </w:r>
      <w:r>
        <w:rPr>
          <w:rFonts w:hint="eastAsia" w:ascii="宋体" w:hAnsi="宋体" w:eastAsia="宋体" w:cs="Times New Roman"/>
          <w:kern w:val="0"/>
          <w:szCs w:val="21"/>
        </w:rPr>
        <w:t>的</w:t>
      </w:r>
      <w:r>
        <w:rPr>
          <w:rFonts w:ascii="宋体" w:hAnsi="宋体" w:eastAsia="宋体" w:cs="Times New Roman"/>
          <w:kern w:val="0"/>
          <w:szCs w:val="21"/>
        </w:rPr>
        <w:t>认证申请材料，包括身份证明</w:t>
      </w:r>
      <w:r>
        <w:rPr>
          <w:rFonts w:hint="eastAsia" w:ascii="宋体" w:hAnsi="宋体" w:eastAsia="宋体" w:cs="Times New Roman"/>
          <w:kern w:val="0"/>
          <w:szCs w:val="21"/>
        </w:rPr>
        <w:t>、</w:t>
      </w:r>
      <w:r>
        <w:rPr>
          <w:rFonts w:ascii="宋体" w:hAnsi="宋体" w:eastAsia="宋体" w:cs="Times New Roman"/>
          <w:kern w:val="0"/>
          <w:szCs w:val="21"/>
        </w:rPr>
        <w:t>学历、</w:t>
      </w:r>
      <w:r>
        <w:rPr>
          <w:rFonts w:hint="eastAsia" w:ascii="宋体" w:hAnsi="宋体" w:eastAsia="宋体" w:cs="Times New Roman"/>
          <w:kern w:val="0"/>
          <w:szCs w:val="21"/>
        </w:rPr>
        <w:t>工作</w:t>
      </w:r>
      <w:r>
        <w:rPr>
          <w:rFonts w:ascii="宋体" w:hAnsi="宋体" w:eastAsia="宋体" w:cs="Times New Roman"/>
          <w:kern w:val="0"/>
          <w:szCs w:val="21"/>
        </w:rPr>
        <w:t>经历</w:t>
      </w:r>
      <w:r>
        <w:rPr>
          <w:rFonts w:hint="eastAsia" w:ascii="宋体" w:hAnsi="宋体" w:eastAsia="宋体" w:cs="Times New Roman"/>
          <w:kern w:val="0"/>
          <w:szCs w:val="21"/>
        </w:rPr>
        <w:t>、书面考试合格等</w:t>
      </w:r>
      <w:r>
        <w:rPr>
          <w:rFonts w:ascii="宋体" w:hAnsi="宋体" w:eastAsia="宋体" w:cs="Times New Roman"/>
          <w:kern w:val="0"/>
          <w:szCs w:val="21"/>
        </w:rPr>
        <w:t>证明材料</w:t>
      </w:r>
      <w:r>
        <w:rPr>
          <w:rFonts w:hint="eastAsia" w:ascii="宋体" w:hAnsi="宋体" w:eastAsia="宋体" w:cs="Times New Roman"/>
          <w:kern w:val="0"/>
          <w:szCs w:val="21"/>
        </w:rPr>
        <w:t>；</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6.3.3 </w:t>
      </w:r>
      <w:r>
        <w:rPr>
          <w:rFonts w:ascii="宋体" w:hAnsi="宋体" w:eastAsia="宋体" w:cs="Times New Roman"/>
          <w:kern w:val="0"/>
          <w:szCs w:val="21"/>
        </w:rPr>
        <w:t>收到申请材料后，</w:t>
      </w:r>
      <w:r>
        <w:rPr>
          <w:rFonts w:hint="eastAsia" w:ascii="宋体" w:hAnsi="宋体" w:eastAsia="宋体" w:cs="Times New Roman"/>
          <w:kern w:val="0"/>
          <w:szCs w:val="21"/>
        </w:rPr>
        <w:t>第三方认证机构的申请评审人员</w:t>
      </w:r>
      <w:r>
        <w:rPr>
          <w:rFonts w:ascii="宋体" w:hAnsi="宋体" w:eastAsia="宋体" w:cs="Times New Roman"/>
          <w:kern w:val="0"/>
          <w:szCs w:val="21"/>
        </w:rPr>
        <w:t>负责审查申请人提交的申请资料，若申请人提交的资料齐全、填写清楚、正确，且资料表明符合认证准则基本要求的则予以正式受理</w:t>
      </w:r>
      <w:r>
        <w:rPr>
          <w:rFonts w:hint="eastAsia" w:ascii="宋体" w:hAnsi="宋体" w:eastAsia="宋体" w:cs="Times New Roman"/>
          <w:kern w:val="0"/>
          <w:szCs w:val="21"/>
        </w:rPr>
        <w:t>；</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6.3.4 </w:t>
      </w:r>
      <w:r>
        <w:rPr>
          <w:rFonts w:ascii="宋体" w:hAnsi="宋体" w:eastAsia="宋体" w:cs="Times New Roman"/>
          <w:kern w:val="0"/>
          <w:szCs w:val="21"/>
        </w:rPr>
        <w:t>在资料审查过程中，</w:t>
      </w:r>
      <w:r>
        <w:rPr>
          <w:rFonts w:hint="eastAsia" w:ascii="宋体" w:hAnsi="宋体" w:eastAsia="宋体" w:cs="Times New Roman"/>
          <w:kern w:val="0"/>
          <w:szCs w:val="21"/>
        </w:rPr>
        <w:t>申请评审人员</w:t>
      </w:r>
      <w:r>
        <w:rPr>
          <w:rFonts w:ascii="宋体" w:hAnsi="宋体" w:eastAsia="宋体" w:cs="Times New Roman"/>
          <w:kern w:val="0"/>
          <w:szCs w:val="21"/>
        </w:rPr>
        <w:t>应将所发现的与认证条件不符合之处通知申请人</w:t>
      </w:r>
      <w:r>
        <w:rPr>
          <w:rFonts w:hint="eastAsia" w:ascii="宋体" w:hAnsi="宋体" w:eastAsia="宋体" w:cs="Times New Roman"/>
          <w:kern w:val="0"/>
          <w:szCs w:val="21"/>
        </w:rPr>
        <w:t>；</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6.3.5 认证审核人员</w:t>
      </w:r>
      <w:r>
        <w:rPr>
          <w:rFonts w:ascii="宋体" w:hAnsi="宋体" w:eastAsia="宋体" w:cs="Times New Roman"/>
          <w:kern w:val="0"/>
          <w:szCs w:val="21"/>
        </w:rPr>
        <w:t>对申请人提交认证申请材料进行审查，并给出符合性评价</w:t>
      </w:r>
      <w:r>
        <w:rPr>
          <w:rFonts w:hint="eastAsia" w:ascii="宋体" w:hAnsi="宋体" w:eastAsia="宋体" w:cs="Times New Roman"/>
          <w:kern w:val="0"/>
          <w:szCs w:val="21"/>
        </w:rPr>
        <w:t>结论</w:t>
      </w:r>
      <w:r>
        <w:rPr>
          <w:rFonts w:ascii="宋体" w:hAnsi="宋体" w:eastAsia="宋体" w:cs="Times New Roman"/>
          <w:kern w:val="0"/>
          <w:szCs w:val="21"/>
        </w:rPr>
        <w:t>论</w:t>
      </w:r>
      <w:r>
        <w:rPr>
          <w:rFonts w:hint="eastAsia" w:ascii="宋体" w:hAnsi="宋体" w:eastAsia="宋体" w:cs="Times New Roman"/>
          <w:kern w:val="0"/>
          <w:szCs w:val="21"/>
        </w:rPr>
        <w:t>；</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6.3.6  认证审核人员</w:t>
      </w:r>
      <w:r>
        <w:rPr>
          <w:rFonts w:ascii="宋体" w:hAnsi="宋体" w:eastAsia="宋体" w:cs="Times New Roman"/>
          <w:kern w:val="0"/>
          <w:szCs w:val="21"/>
        </w:rPr>
        <w:t>对申请人的考试成绩进行核实，并给出其在所申请的专业方向和对应级别的知识水平和应用能力的评价结论</w:t>
      </w:r>
      <w:r>
        <w:rPr>
          <w:rFonts w:hint="eastAsia" w:ascii="宋体" w:hAnsi="宋体" w:eastAsia="宋体" w:cs="Times New Roman"/>
          <w:kern w:val="0"/>
          <w:szCs w:val="21"/>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s="Times New Roman"/>
          <w:kern w:val="0"/>
          <w:szCs w:val="21"/>
        </w:rPr>
        <w:t>6.3.7</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认证审核人员</w:t>
      </w:r>
      <w:r>
        <w:rPr>
          <w:rFonts w:ascii="宋体" w:hAnsi="宋体" w:eastAsia="宋体" w:cs="Times New Roman"/>
          <w:kern w:val="0"/>
          <w:szCs w:val="21"/>
        </w:rPr>
        <w:t>对申请人进行综合评价，以决定直接推荐认证评定或 需进一步面试评价。</w:t>
      </w:r>
    </w:p>
    <w:p>
      <w:pPr>
        <w:spacing w:line="360" w:lineRule="auto"/>
        <w:outlineLvl w:val="1"/>
        <w:rPr>
          <w:rFonts w:ascii="Times New Roman" w:hAnsi="Times New Roman" w:eastAsia="宋体" w:cs="Times New Roman"/>
          <w:kern w:val="0"/>
          <w:szCs w:val="21"/>
        </w:rPr>
      </w:pPr>
      <w:bookmarkStart w:id="43" w:name="_Toc32739"/>
      <w:r>
        <w:rPr>
          <w:rFonts w:hint="eastAsia" w:ascii="黑体" w:hAnsi="黑体" w:eastAsia="黑体" w:cs="黑体"/>
          <w:color w:val="000000"/>
          <w:kern w:val="44"/>
          <w:szCs w:val="21"/>
        </w:rPr>
        <w:t>6.4 面试评价（必要时）</w:t>
      </w:r>
      <w:bookmarkEnd w:id="43"/>
    </w:p>
    <w:p>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s="Times New Roman"/>
          <w:kern w:val="0"/>
          <w:szCs w:val="21"/>
        </w:rPr>
        <w:t>6.4.1 面试评价人员依据</w:t>
      </w:r>
      <w:r>
        <w:rPr>
          <w:rFonts w:hint="eastAsia" w:ascii="宋体" w:hAnsi="宋体" w:eastAsia="宋体" w:cs="Times New Roman"/>
          <w:kern w:val="0"/>
          <w:szCs w:val="21"/>
        </w:rPr>
        <w:t>认证审核人员</w:t>
      </w:r>
      <w:r>
        <w:rPr>
          <w:rFonts w:ascii="宋体" w:hAnsi="宋体" w:eastAsia="宋体" w:cs="Times New Roman"/>
          <w:kern w:val="0"/>
          <w:szCs w:val="21"/>
        </w:rPr>
        <w:t>的建议对申请人</w:t>
      </w:r>
      <w:r>
        <w:rPr>
          <w:rFonts w:hint="eastAsia" w:ascii="宋体" w:hAnsi="宋体" w:eastAsia="宋体" w:cs="Times New Roman"/>
          <w:kern w:val="0"/>
          <w:szCs w:val="21"/>
        </w:rPr>
        <w:t>综合</w:t>
      </w:r>
      <w:r>
        <w:rPr>
          <w:rFonts w:ascii="宋体" w:hAnsi="宋体" w:eastAsia="宋体" w:cs="Times New Roman"/>
          <w:kern w:val="0"/>
          <w:szCs w:val="21"/>
        </w:rPr>
        <w:t>素质、所申请的专业方向和级别要求的知识和能力通过面谈的方式进行考核或核实，并给出其在所申请的专业方向和对应级别的知识水平和应用能力的评价结论。</w:t>
      </w:r>
      <w:r>
        <w:rPr>
          <w:rFonts w:ascii="宋体" w:hAnsi="宋体" w:eastAsia="宋体" w:cs="Times New Roman"/>
          <w:kern w:val="0"/>
          <w:szCs w:val="21"/>
        </w:rPr>
        <w:br w:type="textWrapping"/>
      </w:r>
      <w:r>
        <w:rPr>
          <w:rFonts w:ascii="宋体" w:hAnsi="宋体" w:eastAsia="宋体" w:cs="Times New Roman"/>
          <w:kern w:val="0"/>
          <w:szCs w:val="21"/>
        </w:rPr>
        <w:t>6.4.2 面试评价人员对申请人进行综合评价，以决定是否推荐认证</w:t>
      </w:r>
      <w:r>
        <w:rPr>
          <w:rFonts w:hint="eastAsia" w:ascii="宋体" w:hAnsi="宋体" w:eastAsia="宋体" w:cs="Times New Roman"/>
          <w:kern w:val="0"/>
          <w:szCs w:val="21"/>
        </w:rPr>
        <w:t>批准</w:t>
      </w:r>
      <w:r>
        <w:rPr>
          <w:rFonts w:ascii="宋体" w:hAnsi="宋体" w:eastAsia="宋体" w:cs="Times New Roman"/>
          <w:kern w:val="0"/>
          <w:szCs w:val="21"/>
        </w:rPr>
        <w:t>。</w:t>
      </w:r>
      <w:r>
        <w:rPr>
          <w:rFonts w:ascii="宋体" w:hAnsi="宋体" w:eastAsia="宋体"/>
          <w:color w:val="000000" w:themeColor="text1"/>
          <w:szCs w:val="21"/>
          <w14:textFill>
            <w14:solidFill>
              <w14:schemeClr w14:val="tx1"/>
            </w14:solidFill>
          </w14:textFill>
        </w:rPr>
        <w:t xml:space="preserve"> </w:t>
      </w:r>
    </w:p>
    <w:p>
      <w:pPr>
        <w:pStyle w:val="25"/>
        <w:spacing w:before="0" w:beforeAutospacing="0" w:after="0" w:afterAutospacing="0" w:line="360" w:lineRule="auto"/>
        <w:outlineLvl w:val="1"/>
        <w:rPr>
          <w:rFonts w:ascii="黑体" w:hAnsi="黑体" w:eastAsia="黑体" w:cs="黑体"/>
          <w:color w:val="000000"/>
          <w:kern w:val="44"/>
          <w:sz w:val="21"/>
          <w:szCs w:val="21"/>
        </w:rPr>
      </w:pPr>
      <w:bookmarkStart w:id="44" w:name="_Toc31158"/>
      <w:r>
        <w:rPr>
          <w:rFonts w:hint="eastAsia" w:ascii="黑体" w:hAnsi="黑体" w:eastAsia="黑体" w:cs="黑体"/>
          <w:color w:val="000000"/>
          <w:kern w:val="44"/>
          <w:sz w:val="21"/>
          <w:szCs w:val="21"/>
        </w:rPr>
        <w:t>6.5 认证批准</w:t>
      </w:r>
      <w:bookmarkEnd w:id="44"/>
    </w:p>
    <w:p>
      <w:pPr>
        <w:pStyle w:val="25"/>
        <w:spacing w:before="0" w:beforeAutospacing="0" w:after="0" w:afterAutospacing="0" w:line="360" w:lineRule="auto"/>
        <w:rPr>
          <w:rFonts w:cs="Times New Roman"/>
          <w:sz w:val="21"/>
          <w:szCs w:val="21"/>
        </w:rPr>
      </w:pPr>
      <w:r>
        <w:rPr>
          <w:rFonts w:cs="Times New Roman"/>
          <w:sz w:val="21"/>
          <w:szCs w:val="21"/>
        </w:rPr>
        <w:t>6.5.1第三方认证机构</w:t>
      </w:r>
      <w:r>
        <w:rPr>
          <w:rFonts w:hint="eastAsia" w:cs="Times New Roman"/>
          <w:sz w:val="21"/>
          <w:szCs w:val="21"/>
        </w:rPr>
        <w:t>认证决定</w:t>
      </w:r>
      <w:r>
        <w:rPr>
          <w:rFonts w:cs="Times New Roman"/>
          <w:sz w:val="21"/>
          <w:szCs w:val="21"/>
        </w:rPr>
        <w:t>人员负责审核认证</w:t>
      </w:r>
      <w:r>
        <w:rPr>
          <w:rFonts w:hint="eastAsia" w:cs="Times New Roman"/>
          <w:sz w:val="21"/>
          <w:szCs w:val="21"/>
        </w:rPr>
        <w:t>书面评价和面试评价（需要时）的</w:t>
      </w:r>
      <w:r>
        <w:rPr>
          <w:rFonts w:cs="Times New Roman"/>
          <w:sz w:val="21"/>
          <w:szCs w:val="21"/>
        </w:rPr>
        <w:t>意见，并最终决定是否批准认证。</w:t>
      </w:r>
      <w:r>
        <w:rPr>
          <w:rFonts w:hint="eastAsia" w:cs="Times New Roman"/>
          <w:sz w:val="21"/>
          <w:szCs w:val="21"/>
        </w:rPr>
        <w:t xml:space="preserve"> </w:t>
      </w:r>
      <w:r>
        <w:rPr>
          <w:rFonts w:cs="Times New Roman"/>
          <w:sz w:val="21"/>
          <w:szCs w:val="21"/>
        </w:rPr>
        <w:t xml:space="preserve">   </w:t>
      </w:r>
    </w:p>
    <w:p>
      <w:pPr>
        <w:pStyle w:val="25"/>
        <w:spacing w:before="0" w:beforeAutospacing="0" w:after="0" w:afterAutospacing="0" w:line="360" w:lineRule="auto"/>
        <w:rPr>
          <w:rFonts w:cs="Times New Roman"/>
          <w:sz w:val="21"/>
          <w:szCs w:val="21"/>
        </w:rPr>
      </w:pPr>
      <w:r>
        <w:rPr>
          <w:rFonts w:cs="Times New Roman"/>
          <w:sz w:val="21"/>
          <w:szCs w:val="21"/>
        </w:rPr>
        <w:t xml:space="preserve">6.5.2 </w:t>
      </w:r>
      <w:r>
        <w:rPr>
          <w:rFonts w:hint="eastAsia" w:cs="Times New Roman"/>
          <w:sz w:val="21"/>
          <w:szCs w:val="21"/>
        </w:rPr>
        <w:t>认证决定</w:t>
      </w:r>
      <w:r>
        <w:rPr>
          <w:rFonts w:cs="Times New Roman"/>
          <w:sz w:val="21"/>
          <w:szCs w:val="21"/>
        </w:rPr>
        <w:t>人员</w:t>
      </w:r>
      <w:r>
        <w:rPr>
          <w:rFonts w:hint="eastAsia" w:cs="Times New Roman"/>
          <w:sz w:val="21"/>
          <w:szCs w:val="21"/>
        </w:rPr>
        <w:t>和审核人员不应为同一人员。</w:t>
      </w:r>
    </w:p>
    <w:p>
      <w:pPr>
        <w:pStyle w:val="25"/>
        <w:spacing w:before="0" w:beforeAutospacing="0" w:after="0" w:afterAutospacing="0" w:line="360" w:lineRule="auto"/>
        <w:rPr>
          <w:rFonts w:cs="Times New Roman"/>
          <w:sz w:val="21"/>
          <w:szCs w:val="21"/>
        </w:rPr>
      </w:pPr>
      <w:r>
        <w:rPr>
          <w:rFonts w:cs="Times New Roman"/>
          <w:sz w:val="21"/>
          <w:szCs w:val="21"/>
        </w:rPr>
        <w:t>6.5.3 最终决定结果是以下三种类型之一</w:t>
      </w:r>
      <w:r>
        <w:rPr>
          <w:rFonts w:hint="eastAsia" w:cs="Times New Roman"/>
          <w:sz w:val="21"/>
          <w:szCs w:val="21"/>
        </w:rPr>
        <w:t>：</w:t>
      </w:r>
      <w:r>
        <w:rPr>
          <w:rFonts w:cs="Times New Roman"/>
          <w:sz w:val="21"/>
          <w:szCs w:val="21"/>
        </w:rPr>
        <w:t xml:space="preserve">                                    </w:t>
      </w:r>
      <w:r>
        <w:rPr>
          <w:rFonts w:hint="eastAsia" w:cs="Times New Roman"/>
          <w:sz w:val="21"/>
          <w:szCs w:val="21"/>
        </w:rPr>
        <w:t xml:space="preserve"> </w:t>
      </w:r>
      <w:r>
        <w:rPr>
          <w:rFonts w:cs="Times New Roman"/>
          <w:sz w:val="21"/>
          <w:szCs w:val="21"/>
        </w:rPr>
        <w:t xml:space="preserve">                   </w:t>
      </w:r>
      <w:r>
        <w:rPr>
          <w:rFonts w:hint="eastAsia" w:cs="Times New Roman"/>
          <w:sz w:val="21"/>
          <w:szCs w:val="21"/>
        </w:rPr>
        <w:t xml:space="preserve">　　 </w:t>
      </w:r>
      <w:r>
        <w:rPr>
          <w:rFonts w:cs="Times New Roman"/>
          <w:sz w:val="21"/>
          <w:szCs w:val="21"/>
        </w:rPr>
        <w:t xml:space="preserve"> </w:t>
      </w:r>
    </w:p>
    <w:p>
      <w:pPr>
        <w:pStyle w:val="25"/>
        <w:spacing w:before="0" w:beforeAutospacing="0" w:after="0" w:afterAutospacing="0" w:line="360" w:lineRule="auto"/>
        <w:ind w:left="525" w:leftChars="250"/>
        <w:rPr>
          <w:rFonts w:cs="Times New Roman"/>
          <w:sz w:val="21"/>
          <w:szCs w:val="21"/>
        </w:rPr>
      </w:pPr>
      <w:r>
        <w:rPr>
          <w:rFonts w:cs="Times New Roman"/>
          <w:sz w:val="21"/>
          <w:szCs w:val="21"/>
        </w:rPr>
        <w:t>a) 通过认证</w:t>
      </w:r>
      <w:r>
        <w:rPr>
          <w:rFonts w:hint="eastAsia" w:cs="Times New Roman"/>
          <w:sz w:val="21"/>
          <w:szCs w:val="21"/>
        </w:rPr>
        <w:t>；</w:t>
      </w:r>
      <w:r>
        <w:rPr>
          <w:rFonts w:cs="Times New Roman"/>
          <w:sz w:val="21"/>
          <w:szCs w:val="21"/>
        </w:rPr>
        <w:br w:type="textWrapping"/>
      </w:r>
      <w:r>
        <w:rPr>
          <w:rFonts w:cs="Times New Roman"/>
          <w:sz w:val="21"/>
          <w:szCs w:val="21"/>
        </w:rPr>
        <w:t>b) 不予通过认证</w:t>
      </w:r>
      <w:r>
        <w:rPr>
          <w:rFonts w:hint="eastAsia" w:cs="Times New Roman"/>
          <w:sz w:val="21"/>
          <w:szCs w:val="21"/>
        </w:rPr>
        <w:t>；</w:t>
      </w:r>
      <w:r>
        <w:rPr>
          <w:rFonts w:cs="Times New Roman"/>
          <w:sz w:val="21"/>
          <w:szCs w:val="21"/>
        </w:rPr>
        <w:br w:type="textWrapping"/>
      </w:r>
      <w:r>
        <w:rPr>
          <w:rFonts w:cs="Times New Roman"/>
          <w:sz w:val="21"/>
          <w:szCs w:val="21"/>
        </w:rPr>
        <w:t xml:space="preserve">c) 补充证据或信息，再行认证评定。 </w:t>
      </w:r>
    </w:p>
    <w:p>
      <w:pPr>
        <w:pStyle w:val="25"/>
        <w:spacing w:before="0" w:beforeAutospacing="0" w:after="0" w:afterAutospacing="0" w:line="360" w:lineRule="auto"/>
        <w:outlineLvl w:val="1"/>
        <w:rPr>
          <w:rFonts w:ascii="黑体" w:hAnsi="黑体" w:eastAsia="黑体" w:cs="黑体"/>
          <w:color w:val="000000"/>
          <w:kern w:val="44"/>
          <w:sz w:val="21"/>
          <w:szCs w:val="21"/>
        </w:rPr>
      </w:pPr>
      <w:bookmarkStart w:id="45" w:name="_Toc15711"/>
      <w:r>
        <w:rPr>
          <w:rFonts w:hint="eastAsia" w:ascii="黑体" w:hAnsi="黑体" w:eastAsia="黑体" w:cs="黑体"/>
          <w:color w:val="000000"/>
          <w:kern w:val="44"/>
          <w:sz w:val="21"/>
          <w:szCs w:val="21"/>
        </w:rPr>
        <w:t>6.6 颁发证书与公告</w:t>
      </w:r>
      <w:bookmarkEnd w:id="45"/>
      <w:r>
        <w:rPr>
          <w:rFonts w:hint="eastAsia" w:ascii="黑体" w:hAnsi="黑体" w:eastAsia="黑体" w:cs="黑体"/>
          <w:color w:val="000000"/>
          <w:kern w:val="44"/>
          <w:sz w:val="21"/>
          <w:szCs w:val="21"/>
        </w:rPr>
        <w:t xml:space="preserve"> </w:t>
      </w:r>
    </w:p>
    <w:p>
      <w:pPr>
        <w:pStyle w:val="25"/>
        <w:tabs>
          <w:tab w:val="left" w:pos="3969"/>
        </w:tabs>
        <w:spacing w:before="0" w:beforeAutospacing="0" w:after="0" w:afterAutospacing="0" w:line="360" w:lineRule="auto"/>
        <w:ind w:firstLine="420"/>
        <w:rPr>
          <w:rFonts w:ascii="Songti SC Light" w:hAnsi="Songti SC Light" w:eastAsia="Songti SC Light" w:cs="Times New Roman"/>
          <w:color w:val="000000" w:themeColor="text1"/>
          <w:sz w:val="21"/>
          <w:szCs w:val="21"/>
          <w14:textFill>
            <w14:solidFill>
              <w14:schemeClr w14:val="tx1"/>
            </w14:solidFill>
          </w14:textFill>
        </w:rPr>
      </w:pPr>
      <w:r>
        <w:rPr>
          <w:rFonts w:hint="eastAsia" w:ascii="Times New Roman" w:hAnsi="Times New Roman" w:cs="Times New Roman"/>
          <w:sz w:val="21"/>
          <w:szCs w:val="21"/>
        </w:rPr>
        <w:t>第三方认证机构应发布公告，公告通过认证的人员名单，并发放认证证书，认证证书有效期3年。</w:t>
      </w:r>
      <w:r>
        <w:rPr>
          <w:rFonts w:hint="eastAsia" w:ascii="Songti SC Light" w:hAnsi="Songti SC Light" w:eastAsia="Songti SC Light" w:cs="Times New Roman"/>
          <w:color w:val="000000" w:themeColor="text1"/>
          <w:sz w:val="21"/>
          <w:szCs w:val="21"/>
          <w14:textFill>
            <w14:solidFill>
              <w14:schemeClr w14:val="tx1"/>
            </w14:solidFill>
          </w14:textFill>
        </w:rPr>
        <w:t xml:space="preserve"> </w:t>
      </w:r>
    </w:p>
    <w:p>
      <w:pPr>
        <w:pStyle w:val="25"/>
        <w:spacing w:before="0" w:beforeAutospacing="0" w:after="0" w:afterAutospacing="0" w:line="360" w:lineRule="auto"/>
        <w:outlineLvl w:val="1"/>
        <w:rPr>
          <w:rFonts w:ascii="黑体" w:hAnsi="黑体" w:eastAsia="黑体" w:cs="黑体"/>
          <w:color w:val="000000"/>
          <w:kern w:val="44"/>
          <w:sz w:val="21"/>
          <w:szCs w:val="21"/>
        </w:rPr>
      </w:pPr>
      <w:bookmarkStart w:id="46" w:name="_Toc10989"/>
      <w:r>
        <w:rPr>
          <w:rFonts w:hint="eastAsia" w:ascii="黑体" w:hAnsi="黑体" w:eastAsia="黑体" w:cs="黑体"/>
          <w:color w:val="000000"/>
          <w:kern w:val="44"/>
          <w:sz w:val="21"/>
          <w:szCs w:val="21"/>
        </w:rPr>
        <w:t>6.7 年度确认</w:t>
      </w:r>
      <w:bookmarkEnd w:id="46"/>
    </w:p>
    <w:p>
      <w:pPr>
        <w:pStyle w:val="25"/>
        <w:spacing w:before="0" w:beforeAutospacing="0" w:after="0" w:afterAutospacing="0" w:line="360" w:lineRule="auto"/>
        <w:ind w:firstLine="420"/>
        <w:rPr>
          <w:rFonts w:cs="Times New Roman"/>
          <w:sz w:val="21"/>
          <w:szCs w:val="21"/>
        </w:rPr>
      </w:pPr>
      <w:r>
        <w:rPr>
          <w:rFonts w:hint="eastAsia" w:cs="Times New Roman"/>
          <w:sz w:val="21"/>
          <w:szCs w:val="21"/>
        </w:rPr>
        <w:t>获证人员在证书有效期内每年完成相应的再继续培训1</w:t>
      </w:r>
      <w:r>
        <w:rPr>
          <w:rFonts w:cs="Times New Roman"/>
          <w:sz w:val="21"/>
          <w:szCs w:val="21"/>
        </w:rPr>
        <w:t>6</w:t>
      </w:r>
      <w:r>
        <w:rPr>
          <w:rFonts w:hint="eastAsia" w:cs="Times New Roman"/>
          <w:sz w:val="21"/>
          <w:szCs w:val="21"/>
        </w:rPr>
        <w:t>个学时以上来维持认证资质的持续有效。</w:t>
      </w:r>
    </w:p>
    <w:p>
      <w:pPr>
        <w:pStyle w:val="25"/>
        <w:spacing w:before="0" w:beforeAutospacing="0" w:after="0" w:afterAutospacing="0" w:line="360" w:lineRule="auto"/>
        <w:outlineLvl w:val="1"/>
        <w:rPr>
          <w:rFonts w:ascii="黑体" w:hAnsi="黑体" w:eastAsia="黑体" w:cs="黑体"/>
          <w:color w:val="000000"/>
          <w:kern w:val="44"/>
          <w:sz w:val="21"/>
          <w:szCs w:val="21"/>
        </w:rPr>
      </w:pPr>
      <w:bookmarkStart w:id="47" w:name="_Toc5335"/>
      <w:r>
        <w:rPr>
          <w:rFonts w:hint="eastAsia" w:ascii="黑体" w:hAnsi="黑体" w:eastAsia="黑体" w:cs="黑体"/>
          <w:color w:val="000000"/>
          <w:kern w:val="44"/>
          <w:sz w:val="21"/>
          <w:szCs w:val="21"/>
        </w:rPr>
        <w:t>6.8 再认证</w:t>
      </w:r>
      <w:bookmarkEnd w:id="47"/>
    </w:p>
    <w:p>
      <w:pPr>
        <w:pStyle w:val="25"/>
        <w:spacing w:before="0" w:beforeAutospacing="0" w:after="0" w:afterAutospacing="0" w:line="360" w:lineRule="auto"/>
        <w:ind w:firstLine="420" w:firstLineChars="200"/>
        <w:rPr>
          <w:rFonts w:cs="Times New Roman"/>
          <w:sz w:val="21"/>
          <w:szCs w:val="21"/>
        </w:rPr>
      </w:pPr>
      <w:r>
        <w:rPr>
          <w:rFonts w:hint="eastAsia" w:cs="Times New Roman"/>
          <w:sz w:val="21"/>
          <w:szCs w:val="21"/>
        </w:rPr>
        <w:t>获证人员在证书过期前9</w:t>
      </w:r>
      <w:r>
        <w:rPr>
          <w:rFonts w:cs="Times New Roman"/>
          <w:sz w:val="21"/>
          <w:szCs w:val="21"/>
        </w:rPr>
        <w:t>0</w:t>
      </w:r>
      <w:r>
        <w:rPr>
          <w:rFonts w:hint="eastAsia" w:cs="Times New Roman"/>
          <w:sz w:val="21"/>
          <w:szCs w:val="21"/>
        </w:rPr>
        <w:t>天内应向第三方认证机构提交资料申请再认证申请，再认证评价需提交近三年的网络空间安全相关工作经历，应至少包括认证方向相关的经历或2个认证方向的完成项目。</w:t>
      </w:r>
    </w:p>
    <w:p>
      <w:pPr>
        <w:pStyle w:val="25"/>
        <w:spacing w:before="0" w:beforeAutospacing="0" w:after="0" w:afterAutospacing="0" w:line="360" w:lineRule="auto"/>
        <w:outlineLvl w:val="1"/>
        <w:rPr>
          <w:rFonts w:ascii="黑体" w:hAnsi="黑体" w:eastAsia="黑体" w:cs="黑体"/>
          <w:color w:val="000000"/>
          <w:kern w:val="44"/>
          <w:sz w:val="21"/>
          <w:szCs w:val="21"/>
        </w:rPr>
      </w:pPr>
      <w:bookmarkStart w:id="48" w:name="_Toc27340"/>
      <w:r>
        <w:rPr>
          <w:rFonts w:hint="eastAsia" w:ascii="黑体" w:hAnsi="黑体" w:eastAsia="黑体" w:cs="黑体"/>
          <w:color w:val="000000"/>
          <w:kern w:val="44"/>
          <w:sz w:val="21"/>
          <w:szCs w:val="21"/>
        </w:rPr>
        <w:t>6.9 变更</w:t>
      </w:r>
      <w:bookmarkEnd w:id="48"/>
    </w:p>
    <w:p>
      <w:pPr>
        <w:pStyle w:val="25"/>
        <w:spacing w:before="0" w:beforeAutospacing="0" w:after="0" w:afterAutospacing="0" w:line="360" w:lineRule="auto"/>
        <w:ind w:firstLine="420" w:firstLineChars="200"/>
        <w:rPr>
          <w:rFonts w:cs="Times New Roman"/>
          <w:sz w:val="21"/>
          <w:szCs w:val="21"/>
        </w:rPr>
      </w:pPr>
      <w:r>
        <w:rPr>
          <w:rFonts w:hint="eastAsia" w:cs="Times New Roman"/>
          <w:sz w:val="21"/>
          <w:szCs w:val="21"/>
        </w:rPr>
        <w:t>获证人员在证书有效期内提出级别、方向、类别方向的变更，如升级、降级、变更到其他方向、类别，或增加其他方向、类别的证书，均可提交变更申请，以及提供标准中要求的符合性证明材料以供评价。</w:t>
      </w:r>
    </w:p>
    <w:p>
      <w:pPr>
        <w:pStyle w:val="25"/>
        <w:adjustRightInd w:val="0"/>
        <w:snapToGrid w:val="0"/>
        <w:spacing w:before="0" w:beforeAutospacing="0" w:after="0" w:afterAutospacing="0" w:line="360" w:lineRule="auto"/>
        <w:ind w:left="420" w:hanging="420" w:hangingChars="200"/>
        <w:outlineLvl w:val="1"/>
        <w:rPr>
          <w:rFonts w:ascii="黑体" w:hAnsi="黑体" w:eastAsia="黑体" w:cs="黑体"/>
          <w:sz w:val="21"/>
          <w:szCs w:val="21"/>
        </w:rPr>
      </w:pPr>
      <w:bookmarkStart w:id="49" w:name="_Toc27521"/>
      <w:r>
        <w:rPr>
          <w:rFonts w:hint="eastAsia" w:ascii="黑体" w:hAnsi="黑体" w:eastAsia="黑体" w:cs="黑体"/>
          <w:kern w:val="44"/>
          <w:sz w:val="21"/>
          <w:szCs w:val="21"/>
        </w:rPr>
        <w:t>6.10暂停、恢复、撤销和注销认证</w:t>
      </w:r>
      <w:bookmarkEnd w:id="49"/>
    </w:p>
    <w:p>
      <w:pPr>
        <w:pStyle w:val="25"/>
        <w:spacing w:before="0" w:beforeAutospacing="0" w:after="0" w:afterAutospacing="0" w:line="360" w:lineRule="auto"/>
        <w:outlineLvl w:val="2"/>
        <w:rPr>
          <w:rFonts w:cs="Times New Roman"/>
          <w:sz w:val="21"/>
          <w:szCs w:val="21"/>
        </w:rPr>
      </w:pPr>
      <w:bookmarkStart w:id="50" w:name="_Toc24516"/>
      <w:bookmarkStart w:id="51" w:name="_Toc30931"/>
      <w:bookmarkStart w:id="52" w:name="_Toc16907"/>
      <w:bookmarkStart w:id="53" w:name="_Toc26771"/>
      <w:r>
        <w:rPr>
          <w:rFonts w:hint="eastAsia" w:ascii="黑体" w:hAnsi="黑体" w:eastAsia="黑体" w:cs="黑体"/>
          <w:color w:val="000000"/>
          <w:kern w:val="44"/>
          <w:sz w:val="21"/>
          <w:szCs w:val="21"/>
        </w:rPr>
        <w:t>6.10.1 暂停认证</w:t>
      </w:r>
      <w:r>
        <w:rPr>
          <w:rFonts w:hint="eastAsia" w:ascii="黑体" w:hAnsi="黑体" w:eastAsia="黑体" w:cs="黑体"/>
          <w:color w:val="000000" w:themeColor="text1"/>
          <w:sz w:val="21"/>
          <w:szCs w:val="21"/>
          <w14:textFill>
            <w14:solidFill>
              <w14:schemeClr w14:val="tx1"/>
            </w14:solidFill>
          </w14:textFill>
        </w:rPr>
        <w:br w:type="textWrapping"/>
      </w:r>
      <w:r>
        <w:rPr>
          <w:rFonts w:cs="Times New Roman"/>
          <w:sz w:val="21"/>
          <w:szCs w:val="21"/>
        </w:rPr>
        <w:t>6.10.1.1 获证人员如不能持续地符合认证条件和要求，包括不提交专业持续发展课程</w:t>
      </w:r>
      <w:bookmarkEnd w:id="50"/>
      <w:r>
        <w:rPr>
          <w:rFonts w:cs="Times New Roman"/>
          <w:sz w:val="21"/>
          <w:szCs w:val="21"/>
        </w:rPr>
        <w:t>学习的证明、不提供相关认证专业方向的工作经历证明，</w:t>
      </w:r>
      <w:r>
        <w:rPr>
          <w:rFonts w:hint="eastAsia" w:cs="Times New Roman"/>
          <w:sz w:val="21"/>
          <w:szCs w:val="21"/>
        </w:rPr>
        <w:t>第三方认证机构</w:t>
      </w:r>
      <w:r>
        <w:rPr>
          <w:rFonts w:cs="Times New Roman"/>
          <w:sz w:val="21"/>
          <w:szCs w:val="21"/>
        </w:rPr>
        <w:t>可以暂停部分或全部认证资格。</w:t>
      </w:r>
      <w:r>
        <w:rPr>
          <w:rFonts w:cs="Times New Roman"/>
          <w:sz w:val="21"/>
          <w:szCs w:val="21"/>
        </w:rPr>
        <w:br w:type="textWrapping"/>
      </w:r>
      <w:r>
        <w:rPr>
          <w:rFonts w:cs="Times New Roman"/>
          <w:sz w:val="21"/>
          <w:szCs w:val="21"/>
        </w:rPr>
        <w:t>6.10.1.2 暂停期不小于 60 天，但不大于 180 天，获证人员在暂停期间不再享有相应权利，不得使用被暂停的证书，也不得以任何明示或隐含的方式向外界表示被暂停认证的范围仍然有效。</w:t>
      </w:r>
      <w:bookmarkEnd w:id="51"/>
      <w:bookmarkEnd w:id="52"/>
      <w:bookmarkEnd w:id="53"/>
    </w:p>
    <w:p>
      <w:pPr>
        <w:pStyle w:val="25"/>
        <w:spacing w:before="0" w:beforeAutospacing="0" w:after="0" w:afterAutospacing="0" w:line="360" w:lineRule="auto"/>
        <w:outlineLvl w:val="2"/>
        <w:rPr>
          <w:rFonts w:ascii="黑体" w:hAnsi="黑体" w:eastAsia="黑体" w:cs="黑体"/>
          <w:color w:val="000000"/>
          <w:kern w:val="44"/>
          <w:sz w:val="21"/>
          <w:szCs w:val="21"/>
        </w:rPr>
      </w:pPr>
      <w:bookmarkStart w:id="54" w:name="_Toc18818"/>
      <w:bookmarkStart w:id="55" w:name="_Toc21250"/>
      <w:bookmarkStart w:id="56" w:name="_Toc7931"/>
      <w:r>
        <w:rPr>
          <w:rFonts w:hint="eastAsia" w:ascii="黑体" w:hAnsi="黑体" w:eastAsia="黑体" w:cs="黑体"/>
          <w:color w:val="000000"/>
          <w:kern w:val="44"/>
          <w:sz w:val="21"/>
          <w:szCs w:val="21"/>
        </w:rPr>
        <w:t>6.10.2 恢复认证</w:t>
      </w:r>
      <w:bookmarkEnd w:id="54"/>
      <w:bookmarkEnd w:id="55"/>
      <w:bookmarkEnd w:id="56"/>
      <w:r>
        <w:rPr>
          <w:rFonts w:hint="eastAsia" w:ascii="黑体" w:hAnsi="黑体" w:eastAsia="黑体" w:cs="黑体"/>
          <w:color w:val="000000"/>
          <w:kern w:val="44"/>
          <w:sz w:val="21"/>
          <w:szCs w:val="21"/>
        </w:rPr>
        <w:t xml:space="preserve"> </w:t>
      </w:r>
    </w:p>
    <w:p>
      <w:pPr>
        <w:spacing w:line="360" w:lineRule="auto"/>
        <w:ind w:firstLine="420" w:firstLineChars="200"/>
        <w:rPr>
          <w:rFonts w:ascii="Songti SC Light" w:hAnsi="Songti SC Light" w:eastAsia="Songti SC Light"/>
          <w:color w:val="000000" w:themeColor="text1"/>
          <w:szCs w:val="21"/>
          <w14:textFill>
            <w14:solidFill>
              <w14:schemeClr w14:val="tx1"/>
            </w14:solidFill>
          </w14:textFill>
        </w:rPr>
      </w:pPr>
      <w:r>
        <w:rPr>
          <w:rFonts w:ascii="Songti SC Light" w:hAnsi="Songti SC Light" w:eastAsia="Songti SC Light"/>
          <w:color w:val="000000" w:themeColor="text1"/>
          <w:szCs w:val="21"/>
          <w14:textFill>
            <w14:solidFill>
              <w14:schemeClr w14:val="tx1"/>
            </w14:solidFill>
          </w14:textFill>
        </w:rPr>
        <w:t>被</w:t>
      </w:r>
      <w:r>
        <w:rPr>
          <w:rFonts w:ascii="Times New Roman" w:hAnsi="Times New Roman" w:eastAsia="宋体" w:cs="Times New Roman"/>
          <w:kern w:val="0"/>
          <w:szCs w:val="21"/>
        </w:rPr>
        <w:t>暂停认证的，在规定的暂停期限内达到认证要求后，申请并经确认符合，可以恢复认证资格。</w:t>
      </w:r>
    </w:p>
    <w:p>
      <w:pPr>
        <w:pStyle w:val="25"/>
        <w:spacing w:before="0" w:beforeAutospacing="0" w:after="0" w:afterAutospacing="0" w:line="360" w:lineRule="auto"/>
        <w:outlineLvl w:val="2"/>
        <w:rPr>
          <w:rFonts w:ascii="黑体" w:hAnsi="黑体" w:eastAsia="黑体" w:cs="黑体"/>
          <w:color w:val="000000"/>
          <w:kern w:val="44"/>
          <w:sz w:val="21"/>
          <w:szCs w:val="21"/>
        </w:rPr>
      </w:pPr>
      <w:bookmarkStart w:id="57" w:name="_Toc28385"/>
      <w:bookmarkStart w:id="58" w:name="_Toc1069"/>
      <w:bookmarkStart w:id="59" w:name="_Toc12637"/>
      <w:r>
        <w:rPr>
          <w:rFonts w:hint="eastAsia" w:ascii="黑体" w:hAnsi="黑体" w:eastAsia="黑体" w:cs="黑体"/>
          <w:color w:val="000000"/>
          <w:kern w:val="44"/>
          <w:sz w:val="21"/>
          <w:szCs w:val="21"/>
        </w:rPr>
        <w:t>6.10.3 撤销认证</w:t>
      </w:r>
      <w:bookmarkEnd w:id="57"/>
      <w:bookmarkEnd w:id="58"/>
      <w:bookmarkEnd w:id="59"/>
    </w:p>
    <w:p>
      <w:pPr>
        <w:spacing w:line="360" w:lineRule="auto"/>
        <w:ind w:left="420" w:leftChars="200"/>
        <w:rPr>
          <w:rFonts w:ascii="宋体" w:hAnsi="宋体" w:eastAsia="宋体" w:cs="Times New Roman"/>
          <w:kern w:val="0"/>
          <w:szCs w:val="21"/>
        </w:rPr>
      </w:pPr>
      <w:r>
        <w:rPr>
          <w:rFonts w:ascii="宋体" w:hAnsi="宋体" w:eastAsia="宋体" w:cs="Times New Roman"/>
          <w:kern w:val="0"/>
          <w:szCs w:val="21"/>
        </w:rPr>
        <w:t>在下列情况下，</w:t>
      </w:r>
      <w:r>
        <w:rPr>
          <w:rFonts w:hint="eastAsia" w:ascii="宋体" w:hAnsi="宋体" w:eastAsia="宋体" w:cs="Times New Roman"/>
          <w:kern w:val="0"/>
          <w:szCs w:val="21"/>
        </w:rPr>
        <w:t>第三方认证机构</w:t>
      </w:r>
      <w:r>
        <w:rPr>
          <w:rFonts w:ascii="宋体" w:hAnsi="宋体" w:eastAsia="宋体" w:cs="Times New Roman"/>
          <w:kern w:val="0"/>
          <w:szCs w:val="21"/>
        </w:rPr>
        <w:t>应撤销认证</w:t>
      </w:r>
      <w:r>
        <w:rPr>
          <w:rFonts w:hint="eastAsia" w:ascii="宋体" w:hAnsi="宋体" w:eastAsia="宋体" w:cs="Times New Roman"/>
          <w:kern w:val="0"/>
          <w:szCs w:val="21"/>
        </w:rPr>
        <w:t>：</w:t>
      </w:r>
      <w:r>
        <w:rPr>
          <w:rFonts w:ascii="宋体" w:hAnsi="宋体" w:eastAsia="宋体" w:cs="Times New Roman"/>
          <w:kern w:val="0"/>
          <w:szCs w:val="21"/>
        </w:rPr>
        <w:br w:type="textWrapping"/>
      </w:r>
      <w:r>
        <w:rPr>
          <w:rFonts w:ascii="宋体" w:hAnsi="宋体" w:eastAsia="宋体" w:cs="Times New Roman"/>
          <w:kern w:val="0"/>
          <w:szCs w:val="21"/>
        </w:rPr>
        <w:t>a) 被暂停认证的，超过暂停期仍不能恢复认证</w:t>
      </w:r>
      <w:r>
        <w:rPr>
          <w:rFonts w:hint="eastAsia" w:ascii="宋体" w:hAnsi="宋体" w:eastAsia="宋体" w:cs="Times New Roman"/>
          <w:kern w:val="0"/>
          <w:szCs w:val="21"/>
        </w:rPr>
        <w:t>（</w:t>
      </w:r>
      <w:r>
        <w:rPr>
          <w:rFonts w:ascii="宋体" w:hAnsi="宋体" w:eastAsia="宋体" w:cs="Times New Roman"/>
          <w:kern w:val="0"/>
          <w:szCs w:val="21"/>
        </w:rPr>
        <w:t>部分暂停的则部分撤销</w:t>
      </w:r>
      <w:r>
        <w:rPr>
          <w:rFonts w:hint="eastAsia" w:ascii="宋体" w:hAnsi="宋体" w:eastAsia="宋体" w:cs="Times New Roman"/>
          <w:kern w:val="0"/>
          <w:szCs w:val="21"/>
        </w:rPr>
        <w:t>）</w:t>
      </w:r>
      <w:r>
        <w:rPr>
          <w:rFonts w:ascii="宋体" w:hAnsi="宋体" w:eastAsia="宋体" w:cs="Times New Roman"/>
          <w:kern w:val="0"/>
          <w:szCs w:val="21"/>
        </w:rPr>
        <w:t xml:space="preserve">;              </w:t>
      </w:r>
    </w:p>
    <w:p>
      <w:pPr>
        <w:spacing w:line="360" w:lineRule="auto"/>
        <w:ind w:left="420" w:leftChars="200"/>
        <w:rPr>
          <w:rFonts w:ascii="宋体" w:hAnsi="宋体" w:eastAsia="宋体" w:cs="Times New Roman"/>
          <w:kern w:val="0"/>
          <w:szCs w:val="21"/>
        </w:rPr>
      </w:pPr>
      <w:r>
        <w:rPr>
          <w:rFonts w:ascii="宋体" w:hAnsi="宋体" w:eastAsia="宋体" w:cs="Times New Roman"/>
          <w:kern w:val="0"/>
          <w:szCs w:val="21"/>
        </w:rPr>
        <w:t>b) 当认证规则、认证准则变更时，在规定时间内不能满足新要求的</w:t>
      </w:r>
      <w:r>
        <w:rPr>
          <w:rFonts w:hint="eastAsia" w:ascii="宋体" w:hAnsi="宋体" w:eastAsia="宋体" w:cs="Times New Roman"/>
          <w:kern w:val="0"/>
          <w:szCs w:val="21"/>
        </w:rPr>
        <w:t>；</w:t>
      </w:r>
      <w:r>
        <w:rPr>
          <w:rFonts w:ascii="宋体" w:hAnsi="宋体" w:eastAsia="宋体" w:cs="Times New Roman"/>
          <w:kern w:val="0"/>
          <w:szCs w:val="21"/>
        </w:rPr>
        <w:br w:type="textWrapping"/>
      </w:r>
      <w:r>
        <w:rPr>
          <w:rFonts w:ascii="宋体" w:hAnsi="宋体" w:eastAsia="宋体" w:cs="Times New Roman"/>
          <w:kern w:val="0"/>
          <w:szCs w:val="21"/>
        </w:rPr>
        <w:t>c) 获证人员不能履行</w:t>
      </w:r>
      <w:r>
        <w:rPr>
          <w:rFonts w:hint="eastAsia" w:ascii="宋体" w:hAnsi="宋体" w:eastAsia="宋体" w:cs="Times New Roman"/>
          <w:kern w:val="0"/>
          <w:szCs w:val="21"/>
        </w:rPr>
        <w:t>第三方认证机构的</w:t>
      </w:r>
      <w:r>
        <w:rPr>
          <w:rFonts w:ascii="宋体" w:hAnsi="宋体" w:eastAsia="宋体" w:cs="Times New Roman"/>
          <w:kern w:val="0"/>
          <w:szCs w:val="21"/>
        </w:rPr>
        <w:t>相关认证规则中规定的义务</w:t>
      </w:r>
      <w:r>
        <w:rPr>
          <w:rFonts w:hint="eastAsia" w:ascii="宋体" w:hAnsi="宋体" w:eastAsia="宋体" w:cs="Times New Roman"/>
          <w:kern w:val="0"/>
          <w:szCs w:val="21"/>
        </w:rPr>
        <w:t>；</w:t>
      </w:r>
      <w:r>
        <w:rPr>
          <w:rFonts w:ascii="宋体" w:hAnsi="宋体" w:eastAsia="宋体" w:cs="Times New Roman"/>
          <w:kern w:val="0"/>
          <w:szCs w:val="21"/>
        </w:rPr>
        <w:br w:type="textWrapping"/>
      </w:r>
      <w:r>
        <w:rPr>
          <w:rFonts w:ascii="宋体" w:hAnsi="宋体" w:eastAsia="宋体" w:cs="Times New Roman"/>
          <w:kern w:val="0"/>
          <w:szCs w:val="21"/>
        </w:rPr>
        <w:t xml:space="preserve">d) 获证人员被证实不再符合认证准则所规定的要求。 </w:t>
      </w:r>
    </w:p>
    <w:p>
      <w:pPr>
        <w:pStyle w:val="25"/>
        <w:spacing w:before="0" w:beforeAutospacing="0" w:after="0" w:afterAutospacing="0" w:line="360" w:lineRule="auto"/>
        <w:outlineLvl w:val="2"/>
        <w:rPr>
          <w:rFonts w:ascii="黑体" w:hAnsi="黑体" w:eastAsia="黑体" w:cs="黑体"/>
          <w:color w:val="000000"/>
          <w:kern w:val="44"/>
          <w:sz w:val="21"/>
          <w:szCs w:val="21"/>
        </w:rPr>
      </w:pPr>
      <w:bookmarkStart w:id="60" w:name="_Toc18538"/>
      <w:bookmarkStart w:id="61" w:name="_Toc16749"/>
      <w:bookmarkStart w:id="62" w:name="_Toc24091"/>
      <w:r>
        <w:rPr>
          <w:rFonts w:hint="eastAsia" w:ascii="黑体" w:hAnsi="黑体" w:eastAsia="黑体" w:cs="黑体"/>
          <w:color w:val="000000"/>
          <w:kern w:val="44"/>
          <w:sz w:val="21"/>
          <w:szCs w:val="21"/>
        </w:rPr>
        <w:t>6.10.4 注销认证</w:t>
      </w:r>
      <w:bookmarkEnd w:id="60"/>
      <w:bookmarkEnd w:id="61"/>
      <w:bookmarkEnd w:id="62"/>
    </w:p>
    <w:p>
      <w:pPr>
        <w:spacing w:line="360" w:lineRule="auto"/>
        <w:ind w:left="420" w:leftChars="200"/>
        <w:rPr>
          <w:rFonts w:ascii="宋体" w:hAnsi="宋体" w:eastAsia="宋体" w:cs="Times New Roman"/>
          <w:kern w:val="0"/>
          <w:szCs w:val="21"/>
        </w:rPr>
      </w:pPr>
      <w:r>
        <w:rPr>
          <w:rFonts w:ascii="宋体" w:hAnsi="宋体" w:eastAsia="宋体" w:cs="Times New Roman"/>
          <w:kern w:val="0"/>
          <w:szCs w:val="21"/>
        </w:rPr>
        <w:t>在下列情况下，</w:t>
      </w:r>
      <w:r>
        <w:rPr>
          <w:rFonts w:hint="eastAsia" w:ascii="宋体" w:hAnsi="宋体" w:eastAsia="宋体" w:cs="Times New Roman"/>
          <w:kern w:val="0"/>
          <w:szCs w:val="21"/>
        </w:rPr>
        <w:t>第三方认证机构</w:t>
      </w:r>
      <w:r>
        <w:rPr>
          <w:rFonts w:ascii="宋体" w:hAnsi="宋体" w:eastAsia="宋体" w:cs="Times New Roman"/>
          <w:kern w:val="0"/>
          <w:szCs w:val="21"/>
        </w:rPr>
        <w:t>应注销认证</w:t>
      </w:r>
      <w:r>
        <w:rPr>
          <w:rFonts w:hint="eastAsia" w:ascii="宋体" w:hAnsi="宋体" w:eastAsia="宋体" w:cs="Times New Roman"/>
          <w:kern w:val="0"/>
          <w:szCs w:val="21"/>
        </w:rPr>
        <w:t>：</w:t>
      </w:r>
      <w:r>
        <w:rPr>
          <w:rFonts w:ascii="宋体" w:hAnsi="宋体" w:eastAsia="宋体" w:cs="Times New Roman"/>
          <w:kern w:val="0"/>
          <w:szCs w:val="21"/>
        </w:rPr>
        <w:t xml:space="preserve"> </w:t>
      </w:r>
    </w:p>
    <w:p>
      <w:pPr>
        <w:spacing w:line="360" w:lineRule="auto"/>
        <w:ind w:left="420" w:leftChars="200"/>
        <w:rPr>
          <w:rFonts w:ascii="宋体" w:hAnsi="宋体" w:eastAsia="宋体" w:cs="Times New Roman"/>
          <w:kern w:val="0"/>
          <w:szCs w:val="21"/>
        </w:rPr>
      </w:pPr>
      <w:r>
        <w:rPr>
          <w:rFonts w:ascii="宋体" w:hAnsi="宋体" w:eastAsia="宋体" w:cs="Times New Roman"/>
          <w:kern w:val="0"/>
          <w:szCs w:val="21"/>
        </w:rPr>
        <w:t>a) 获证人员自愿申请撤销认证</w:t>
      </w:r>
      <w:r>
        <w:rPr>
          <w:rFonts w:hint="eastAsia" w:ascii="宋体" w:hAnsi="宋体" w:eastAsia="宋体" w:cs="Times New Roman"/>
          <w:kern w:val="0"/>
          <w:szCs w:val="21"/>
        </w:rPr>
        <w:t>；</w:t>
      </w:r>
      <w:r>
        <w:rPr>
          <w:rFonts w:ascii="宋体" w:hAnsi="宋体" w:eastAsia="宋体" w:cs="Times New Roman"/>
          <w:kern w:val="0"/>
          <w:szCs w:val="21"/>
        </w:rPr>
        <w:t xml:space="preserve"> </w:t>
      </w:r>
    </w:p>
    <w:p>
      <w:pPr>
        <w:spacing w:line="360" w:lineRule="auto"/>
        <w:ind w:left="420" w:leftChars="200"/>
        <w:rPr>
          <w:rFonts w:ascii="宋体" w:hAnsi="宋体" w:eastAsia="宋体" w:cs="Times New Roman"/>
          <w:kern w:val="0"/>
          <w:szCs w:val="21"/>
        </w:rPr>
      </w:pPr>
      <w:r>
        <w:rPr>
          <w:rFonts w:ascii="宋体" w:hAnsi="宋体" w:eastAsia="宋体" w:cs="Times New Roman"/>
          <w:kern w:val="0"/>
          <w:szCs w:val="21"/>
        </w:rPr>
        <w:t xml:space="preserve">b) 认证有效期满未申请再认证。 </w:t>
      </w:r>
    </w:p>
    <w:p>
      <w:pPr>
        <w:spacing w:line="360" w:lineRule="auto"/>
        <w:outlineLvl w:val="2"/>
        <w:rPr>
          <w:rFonts w:ascii="黑体" w:hAnsi="黑体" w:eastAsia="黑体" w:cs="黑体"/>
          <w:color w:val="000000"/>
          <w:kern w:val="44"/>
          <w:szCs w:val="21"/>
        </w:rPr>
      </w:pPr>
      <w:bookmarkStart w:id="63" w:name="_Toc10405"/>
      <w:bookmarkStart w:id="64" w:name="_Toc9986"/>
      <w:bookmarkStart w:id="65" w:name="_Toc24101"/>
      <w:r>
        <w:rPr>
          <w:rFonts w:hint="eastAsia" w:ascii="黑体" w:hAnsi="黑体" w:eastAsia="黑体" w:cs="黑体"/>
          <w:color w:val="000000"/>
          <w:kern w:val="44"/>
          <w:szCs w:val="21"/>
        </w:rPr>
        <w:t>6.10.5 暂停、恢复、撤销和注销认证公告</w:t>
      </w:r>
      <w:bookmarkEnd w:id="63"/>
      <w:bookmarkEnd w:id="64"/>
      <w:bookmarkEnd w:id="65"/>
      <w:r>
        <w:rPr>
          <w:rFonts w:hint="eastAsia" w:ascii="黑体" w:hAnsi="黑体" w:eastAsia="黑体" w:cs="黑体"/>
          <w:color w:val="000000"/>
          <w:kern w:val="44"/>
          <w:szCs w:val="21"/>
        </w:rPr>
        <w:t xml:space="preserve"> </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在暂停、恢复、撤销和注销认证决定后，</w:t>
      </w:r>
      <w:r>
        <w:rPr>
          <w:rFonts w:hint="eastAsia" w:ascii="Times New Roman" w:hAnsi="Times New Roman" w:eastAsia="宋体" w:cs="Times New Roman"/>
          <w:kern w:val="0"/>
          <w:szCs w:val="21"/>
        </w:rPr>
        <w:t>第三方认证机构</w:t>
      </w:r>
      <w:r>
        <w:rPr>
          <w:rFonts w:ascii="Times New Roman" w:hAnsi="Times New Roman" w:eastAsia="宋体" w:cs="Times New Roman"/>
          <w:kern w:val="0"/>
          <w:szCs w:val="21"/>
        </w:rPr>
        <w:t>将发布认证公告</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部分撤销认证的同时更新原有发布的电子证书。</w:t>
      </w:r>
    </w:p>
    <w:p>
      <w:pPr>
        <w:widowControl/>
        <w:jc w:val="left"/>
        <w:rPr>
          <w:rFonts w:ascii="Songti SC Light" w:hAnsi="Songti SC Light" w:eastAsia="Songti SC Light"/>
          <w:szCs w:val="21"/>
        </w:rPr>
      </w:pPr>
      <w:r>
        <w:rPr>
          <w:rFonts w:ascii="Songti SC Light" w:hAnsi="Songti SC Light" w:eastAsia="Songti SC Light"/>
          <w:szCs w:val="21"/>
        </w:rPr>
        <w:br w:type="page"/>
      </w:r>
    </w:p>
    <w:p>
      <w:pPr>
        <w:tabs>
          <w:tab w:val="left" w:pos="3455"/>
        </w:tabs>
        <w:spacing w:line="360" w:lineRule="auto"/>
        <w:jc w:val="center"/>
        <w:outlineLvl w:val="0"/>
        <w:rPr>
          <w:rFonts w:ascii="黑体" w:hAnsi="黑体" w:eastAsia="黑体" w:cs="黑体"/>
          <w:szCs w:val="21"/>
        </w:rPr>
      </w:pPr>
      <w:bookmarkStart w:id="66" w:name="_Toc30057"/>
      <w:r>
        <w:rPr>
          <w:rFonts w:hint="eastAsia" w:ascii="黑体" w:hAnsi="黑体" w:eastAsia="黑体" w:cs="黑体"/>
          <w:szCs w:val="21"/>
        </w:rPr>
        <w:t>附 录</w:t>
      </w:r>
      <w:bookmarkStart w:id="67" w:name="_Toc7120"/>
      <w:r>
        <w:rPr>
          <w:rFonts w:hint="eastAsia" w:ascii="黑体" w:hAnsi="黑体" w:eastAsia="黑体" w:cs="黑体"/>
          <w:szCs w:val="21"/>
        </w:rPr>
        <w:t>A</w:t>
      </w:r>
      <w:bookmarkEnd w:id="66"/>
    </w:p>
    <w:p>
      <w:pPr>
        <w:tabs>
          <w:tab w:val="left" w:pos="3455"/>
        </w:tabs>
        <w:spacing w:line="360" w:lineRule="auto"/>
        <w:jc w:val="center"/>
        <w:outlineLvl w:val="0"/>
        <w:rPr>
          <w:rFonts w:ascii="黑体" w:hAnsi="黑体" w:eastAsia="黑体" w:cs="黑体"/>
          <w:szCs w:val="21"/>
        </w:rPr>
      </w:pPr>
      <w:bookmarkStart w:id="68" w:name="_Toc10984"/>
      <w:r>
        <w:rPr>
          <w:rFonts w:hint="eastAsia" w:ascii="黑体" w:hAnsi="黑体" w:eastAsia="黑体" w:cs="黑体"/>
          <w:szCs w:val="21"/>
        </w:rPr>
        <w:t>（规范性）</w:t>
      </w:r>
      <w:bookmarkEnd w:id="67"/>
      <w:bookmarkEnd w:id="68"/>
    </w:p>
    <w:p>
      <w:pPr>
        <w:tabs>
          <w:tab w:val="left" w:pos="3455"/>
        </w:tabs>
        <w:spacing w:after="283" w:line="360" w:lineRule="auto"/>
        <w:jc w:val="center"/>
        <w:outlineLvl w:val="0"/>
        <w:rPr>
          <w:szCs w:val="21"/>
        </w:rPr>
      </w:pPr>
      <w:bookmarkStart w:id="69" w:name="_Toc19328"/>
      <w:bookmarkStart w:id="70" w:name="_Toc2411"/>
      <w:bookmarkStart w:id="71" w:name="_Toc5178"/>
      <w:r>
        <w:rPr>
          <w:rFonts w:hint="eastAsia" w:ascii="黑体" w:hAnsi="黑体" w:eastAsia="黑体" w:cs="黑体"/>
          <w:szCs w:val="21"/>
        </w:rPr>
        <w:t>通用技术基础知识考试大纲</w:t>
      </w:r>
      <w:bookmarkEnd w:id="69"/>
      <w:bookmarkEnd w:id="70"/>
      <w:bookmarkEnd w:id="71"/>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A.1 目的</w:t>
      </w:r>
    </w:p>
    <w:p>
      <w:pPr>
        <w:pStyle w:val="36"/>
        <w:adjustRightInd w:val="0"/>
        <w:snapToGrid w:val="0"/>
        <w:spacing w:line="360" w:lineRule="auto"/>
        <w:rPr>
          <w:rFonts w:ascii="宋体" w:hAnsi="宋体" w:cs="宋体"/>
          <w:kern w:val="0"/>
        </w:rPr>
      </w:pPr>
      <w:r>
        <w:rPr>
          <w:rFonts w:hint="eastAsia" w:ascii="宋体" w:hAnsi="宋体" w:cs="宋体"/>
          <w:kern w:val="0"/>
        </w:rPr>
        <w:t>为使考生达到本认证规范中网络空间安全专业人员通用技术基础能力要求，指导考生有效准备考试，特制定本考试大纲（以下简称大纲）</w:t>
      </w:r>
      <w:r>
        <w:rPr>
          <w:rFonts w:hint="eastAsia" w:ascii="宋体" w:hAnsi="宋体" w:cs="宋体"/>
          <w:color w:val="000000" w:themeColor="text1"/>
          <w:kern w:val="0"/>
          <w14:textFill>
            <w14:solidFill>
              <w14:schemeClr w14:val="tx1"/>
            </w14:solidFill>
          </w14:textFill>
        </w:rPr>
        <w:t>。</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A.2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A.2.1课程要求和考试比例</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表A.1 课程要求</w:t>
      </w:r>
    </w:p>
    <w:tbl>
      <w:tblPr>
        <w:tblStyle w:val="28"/>
        <w:tblW w:w="92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714"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信息安全技术</w:t>
            </w:r>
          </w:p>
        </w:tc>
        <w:tc>
          <w:tcPr>
            <w:tcW w:w="311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71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pPr>
      <w:r>
        <w:rPr>
          <w:rFonts w:hint="eastAsia" w:ascii="黑体" w:hAnsi="黑体" w:eastAsia="黑体" w:cs="黑体"/>
        </w:rPr>
        <w:t>A.3 课程知识点要求</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表A.3 信息安全技术课程内容与要求</w:t>
      </w:r>
    </w:p>
    <w:tbl>
      <w:tblPr>
        <w:tblStyle w:val="28"/>
        <w:tblW w:w="920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072"/>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章节号</w:t>
            </w:r>
          </w:p>
        </w:tc>
        <w:tc>
          <w:tcPr>
            <w:tcW w:w="207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章节名</w:t>
            </w:r>
          </w:p>
        </w:tc>
        <w:tc>
          <w:tcPr>
            <w:tcW w:w="6223"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密码学基础</w:t>
            </w:r>
          </w:p>
        </w:tc>
        <w:tc>
          <w:tcPr>
            <w:tcW w:w="6223"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了解密码学发展简史和基本概念</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掌握密码学算法知识，如对称密码算法、非对称密码算法、哈希函数和数字签名算法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密码学应用</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了解密码学应用基础</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了解公钥基础设施</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了解虚拟专用网络知识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了解特权管理基础设施</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了解其他密码应用知识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鉴别和访问控制</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掌握鉴别的类型、访问控制模型、访问控制技术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操作系统安全</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掌握windows系统安全机制相关知识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掌握Linux系统安全机制相关知识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掌握安全操作系统设计原则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网络安全</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掌握网络安全协议、网络安全设备、网络架构安全知识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数据库安全</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了解数据库系统概念</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了解数据库安全知识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理解数据库安全防护方法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7</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应用安全</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了解应用安全概念</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掌握web应用安全、互联网服务安全、办公软件安全等知识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8</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安全漏洞和恶意代码</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了解安全漏洞的产生和发展</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掌握安全漏洞发现和修复知识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掌握恶意代码的产生和发展、实现技术、防御技术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9</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安全攻击和防护</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了解信息收集和分析的作用、方法和防范</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了解常见攻击和防范</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了解后门设置与防范、痕迹清除和防范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10</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软件安全开发</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了解软件安全开发背景</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掌握软件开发模型知识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掌握软件安全需求和设计</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掌握软件安全测试方法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11</w:t>
            </w:r>
          </w:p>
        </w:tc>
        <w:tc>
          <w:tcPr>
            <w:tcW w:w="207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新技术安全</w:t>
            </w:r>
          </w:p>
        </w:tc>
        <w:tc>
          <w:tcPr>
            <w:tcW w:w="622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了解云计算安全、物联网安全、工业控制安全、大数据安全、人工智能安全等知识</w:t>
            </w:r>
          </w:p>
        </w:tc>
      </w:tr>
    </w:tbl>
    <w:p>
      <w:pPr>
        <w:widowControl/>
        <w:jc w:val="left"/>
        <w:rPr>
          <w:rFonts w:ascii="黑体" w:hAnsi="黑体" w:eastAsia="黑体" w:cs="黑体"/>
          <w:szCs w:val="21"/>
        </w:rPr>
      </w:pPr>
      <w:r>
        <w:rPr>
          <w:rFonts w:ascii="黑体" w:hAnsi="黑体" w:eastAsia="黑体" w:cs="黑体"/>
          <w:szCs w:val="21"/>
        </w:rPr>
        <w:br w:type="page"/>
      </w:r>
    </w:p>
    <w:p>
      <w:pPr>
        <w:tabs>
          <w:tab w:val="left" w:pos="3455"/>
        </w:tabs>
        <w:spacing w:line="360" w:lineRule="auto"/>
        <w:jc w:val="center"/>
        <w:outlineLvl w:val="0"/>
        <w:rPr>
          <w:rFonts w:ascii="黑体" w:hAnsi="黑体" w:eastAsia="黑体" w:cs="黑体"/>
          <w:szCs w:val="21"/>
        </w:rPr>
      </w:pPr>
      <w:bookmarkStart w:id="72" w:name="_Toc1992"/>
      <w:r>
        <w:rPr>
          <w:rFonts w:hint="eastAsia" w:ascii="黑体" w:hAnsi="黑体" w:eastAsia="黑体" w:cs="黑体"/>
          <w:szCs w:val="21"/>
        </w:rPr>
        <w:t>附 录 B</w:t>
      </w:r>
      <w:bookmarkEnd w:id="72"/>
    </w:p>
    <w:p>
      <w:pPr>
        <w:tabs>
          <w:tab w:val="left" w:pos="3455"/>
        </w:tabs>
        <w:spacing w:line="360" w:lineRule="auto"/>
        <w:jc w:val="center"/>
        <w:outlineLvl w:val="0"/>
        <w:rPr>
          <w:rFonts w:ascii="黑体" w:hAnsi="黑体" w:eastAsia="黑体" w:cs="黑体"/>
          <w:szCs w:val="21"/>
        </w:rPr>
      </w:pPr>
      <w:bookmarkStart w:id="73" w:name="_Toc18397"/>
      <w:bookmarkStart w:id="74" w:name="_Toc30656"/>
      <w:r>
        <w:rPr>
          <w:rFonts w:hint="eastAsia" w:ascii="黑体" w:hAnsi="黑体" w:eastAsia="黑体" w:cs="黑体"/>
          <w:szCs w:val="21"/>
        </w:rPr>
        <w:t>（规范性）</w:t>
      </w:r>
      <w:bookmarkEnd w:id="73"/>
      <w:bookmarkEnd w:id="74"/>
    </w:p>
    <w:p>
      <w:pPr>
        <w:tabs>
          <w:tab w:val="left" w:pos="3455"/>
        </w:tabs>
        <w:spacing w:after="283" w:line="360" w:lineRule="auto"/>
        <w:jc w:val="center"/>
        <w:outlineLvl w:val="0"/>
        <w:rPr>
          <w:szCs w:val="21"/>
        </w:rPr>
      </w:pPr>
      <w:bookmarkStart w:id="75" w:name="_Toc7004"/>
      <w:bookmarkStart w:id="76" w:name="_Toc31841"/>
      <w:r>
        <w:rPr>
          <w:rFonts w:hint="eastAsia" w:ascii="黑体" w:hAnsi="黑体" w:eastAsia="黑体" w:cs="黑体"/>
          <w:szCs w:val="21"/>
        </w:rPr>
        <w:t>通用管理类知识考试大纲</w:t>
      </w:r>
      <w:bookmarkEnd w:id="75"/>
      <w:bookmarkEnd w:id="76"/>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B.1 目的</w:t>
      </w:r>
    </w:p>
    <w:p>
      <w:pPr>
        <w:pStyle w:val="36"/>
        <w:adjustRightInd w:val="0"/>
        <w:snapToGrid w:val="0"/>
        <w:spacing w:line="360" w:lineRule="auto"/>
        <w:rPr>
          <w:rFonts w:ascii="宋体" w:hAnsi="宋体" w:cs="宋体"/>
          <w:kern w:val="0"/>
        </w:rPr>
      </w:pPr>
      <w:r>
        <w:rPr>
          <w:rFonts w:hint="eastAsia" w:ascii="宋体" w:hAnsi="宋体" w:cs="宋体"/>
          <w:kern w:val="0"/>
        </w:rPr>
        <w:t>为使考生达到本认证规范中网络空间安全专业人员通用管理类能力要求，指导考生有效准备考试，特制定本考试大纲（以下简称大纲）。</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B.2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B.2.1课程要求</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表B.1 课程要求</w:t>
      </w:r>
    </w:p>
    <w:tbl>
      <w:tblPr>
        <w:tblStyle w:val="28"/>
        <w:tblW w:w="931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789"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网络安全管理实践</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8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关键信息基础设施保护</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8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重要数据保护</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8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个人信息保护</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8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rPr>
          <w:rFonts w:ascii="黑体" w:hAnsi="黑体" w:eastAsia="黑体" w:cs="黑体"/>
        </w:rPr>
      </w:pPr>
      <w:r>
        <w:rPr>
          <w:rFonts w:hint="eastAsia" w:ascii="黑体" w:hAnsi="黑体" w:eastAsia="黑体" w:cs="黑体"/>
        </w:rPr>
        <w:t>B.3 各课程知识点要求</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B.3.1 网络安全管理实践</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表B.2  网络安全管理实践课程内容与要求</w:t>
      </w:r>
    </w:p>
    <w:tbl>
      <w:tblPr>
        <w:tblStyle w:val="28"/>
        <w:tblW w:w="928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95"/>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95" w:type="dxa"/>
            <w:vAlign w:val="center"/>
          </w:tcPr>
          <w:p>
            <w:pPr>
              <w:pStyle w:val="58"/>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036" w:type="dxa"/>
            <w:vAlign w:val="center"/>
          </w:tcPr>
          <w:p>
            <w:pPr>
              <w:pStyle w:val="58"/>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基本概念</w:t>
            </w:r>
          </w:p>
        </w:tc>
        <w:tc>
          <w:tcPr>
            <w:tcW w:w="6036"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理解网络安全基本概念和信息安全模型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安全管理策略</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了解各国网络安全管理策略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安全机构和人员管理</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掌握安全机构和人员管理的职责、管理方法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安全技术管理</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掌握密码学、物理和通讯链路安全、网络安全管理、系统安全管理等基本概念和方法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系统建设和安全管理</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掌握信息安全风险评估、信息安全工程知识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掌握信息系统获取、开发和维护管理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安全事件管理和应急响应</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掌握信息安全事件分类分级</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掌握信息安全事件处置方法、流程</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掌握网络安全通报预警和应急处置知识、应急预案编制管理知识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7</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连续性管理</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掌握业务连续性管理知识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掌握备份技术和恢复管理知识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8</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法规和标准</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了解网络信息安全相关法律法规</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了解网络信息安全管理标准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9</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网络安全等级保护</w:t>
            </w:r>
          </w:p>
        </w:tc>
        <w:tc>
          <w:tcPr>
            <w:tcW w:w="603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了解网络安全等级保护制度和标准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了解信息安全等级保护实施过程</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理解安全等级保护定级和备案知识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理解安全等级保护建设知识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掌握安全等级保护测评知识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了解网络安全自查和监督检查知识</w:t>
            </w:r>
          </w:p>
        </w:tc>
      </w:tr>
    </w:tbl>
    <w:p>
      <w:pPr>
        <w:pStyle w:val="58"/>
        <w:ind w:left="380" w:firstLine="0" w:firstLineChars="0"/>
      </w:pPr>
    </w:p>
    <w:p>
      <w:pPr>
        <w:pStyle w:val="60"/>
        <w:adjustRightInd w:val="0"/>
        <w:snapToGrid w:val="0"/>
        <w:spacing w:after="158" w:afterLines="50"/>
        <w:ind w:left="160" w:hanging="159" w:hangingChars="76"/>
        <w:rPr>
          <w:rFonts w:ascii="黑体" w:hAnsi="黑体" w:eastAsia="黑体" w:cs="黑体"/>
        </w:rPr>
      </w:pPr>
      <w:r>
        <w:rPr>
          <w:rFonts w:hint="eastAsia" w:ascii="黑体" w:hAnsi="黑体" w:eastAsia="黑体" w:cs="黑体"/>
        </w:rPr>
        <w:t>B.3.2 关键信息基础设施保护</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表B.3 关键信息基础设施保护课程内容与要求</w:t>
      </w:r>
    </w:p>
    <w:tbl>
      <w:tblPr>
        <w:tblStyle w:val="28"/>
        <w:tblW w:w="9303"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1832"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524"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基本概念</w:t>
            </w:r>
          </w:p>
        </w:tc>
        <w:tc>
          <w:tcPr>
            <w:tcW w:w="6524"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了解关键信息基础设施安全基本概念和安全现状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保护范围</w:t>
            </w:r>
          </w:p>
        </w:tc>
        <w:tc>
          <w:tcPr>
            <w:tcW w:w="6524"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了解关键信息基础设施安全保护范围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网络安全法</w:t>
            </w:r>
          </w:p>
        </w:tc>
        <w:tc>
          <w:tcPr>
            <w:tcW w:w="6524"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理解网络安全法的精髓</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了解基于网络安全法的关键信息基础设施安全</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掌握网络安全审查的主要内容、目的和意义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网络安全等级保护</w:t>
            </w:r>
          </w:p>
        </w:tc>
        <w:tc>
          <w:tcPr>
            <w:tcW w:w="6524"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了解网络安全等级保护的安全理念</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掌握网络安全等级保护的基本内容</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掌握实施等级保护的基本原则和常规动作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关键信息基础设施保护条例</w:t>
            </w:r>
          </w:p>
        </w:tc>
        <w:tc>
          <w:tcPr>
            <w:tcW w:w="6524"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了解关键信息基础设施法律政策和标准依据</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掌握网络运营者的安全义务</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掌握网络安全监测预警、应急处置、检测评估方法、步骤和流程</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了解关保主体责任</w:t>
            </w:r>
          </w:p>
        </w:tc>
      </w:tr>
    </w:tbl>
    <w:p>
      <w:pPr>
        <w:pStyle w:val="60"/>
        <w:spacing w:before="317" w:beforeLines="100" w:after="158" w:afterLines="50"/>
        <w:ind w:left="160" w:hanging="159" w:hangingChars="76"/>
        <w:rPr>
          <w:rFonts w:ascii="黑体" w:hAnsi="黑体" w:eastAsia="黑体" w:cs="黑体"/>
        </w:rPr>
      </w:pPr>
      <w:r>
        <w:rPr>
          <w:rFonts w:hint="eastAsia" w:ascii="黑体" w:hAnsi="黑体" w:eastAsia="黑体" w:cs="黑体"/>
        </w:rPr>
        <w:t>B.3.3 个人信息安全保护</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表B.4 个人信息安全保护课程内容与要求</w:t>
      </w:r>
    </w:p>
    <w:tbl>
      <w:tblPr>
        <w:tblStyle w:val="28"/>
        <w:tblW w:w="932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7" w:type="dxa"/>
            <w:vAlign w:val="center"/>
          </w:tcPr>
          <w:p>
            <w:pPr>
              <w:pStyle w:val="60"/>
              <w:ind w:firstLine="0" w:firstLineChars="0"/>
              <w:jc w:val="center"/>
              <w:rPr>
                <w:rFonts w:ascii="黑体" w:hAnsi="黑体" w:eastAsia="黑体" w:cs="黑体"/>
                <w:kern w:val="0"/>
              </w:rPr>
            </w:pPr>
            <w:r>
              <w:rPr>
                <w:rFonts w:hint="eastAsia" w:ascii="黑体" w:hAnsi="黑体" w:eastAsia="黑体" w:cs="黑体"/>
                <w:kern w:val="0"/>
              </w:rPr>
              <w:t>章节号</w:t>
            </w:r>
          </w:p>
        </w:tc>
        <w:tc>
          <w:tcPr>
            <w:tcW w:w="1832" w:type="dxa"/>
            <w:vAlign w:val="center"/>
          </w:tcPr>
          <w:p>
            <w:pPr>
              <w:pStyle w:val="60"/>
              <w:ind w:firstLine="0" w:firstLineChars="0"/>
              <w:jc w:val="center"/>
              <w:rPr>
                <w:rFonts w:ascii="黑体" w:hAnsi="黑体" w:eastAsia="黑体" w:cs="黑体"/>
                <w:kern w:val="0"/>
              </w:rPr>
            </w:pPr>
            <w:r>
              <w:rPr>
                <w:rFonts w:hint="eastAsia" w:ascii="黑体" w:hAnsi="黑体" w:eastAsia="黑体" w:cs="黑体"/>
                <w:kern w:val="0"/>
              </w:rPr>
              <w:t>章节名</w:t>
            </w:r>
          </w:p>
        </w:tc>
        <w:tc>
          <w:tcPr>
            <w:tcW w:w="6550" w:type="dxa"/>
            <w:vAlign w:val="center"/>
          </w:tcPr>
          <w:p>
            <w:pPr>
              <w:pStyle w:val="60"/>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832" w:type="dxa"/>
            <w:vAlign w:val="center"/>
          </w:tcPr>
          <w:p>
            <w:pPr>
              <w:pStyle w:val="60"/>
              <w:ind w:firstLine="0" w:firstLineChars="0"/>
              <w:rPr>
                <w:rFonts w:ascii="宋体" w:hAnsi="宋体" w:cs="宋体"/>
                <w:kern w:val="0"/>
                <w:sz w:val="18"/>
                <w:szCs w:val="18"/>
              </w:rPr>
            </w:pPr>
            <w:r>
              <w:rPr>
                <w:rFonts w:hint="eastAsia" w:ascii="宋体" w:hAnsi="宋体" w:cs="宋体"/>
                <w:kern w:val="0"/>
                <w:sz w:val="18"/>
                <w:szCs w:val="18"/>
              </w:rPr>
              <w:t>基本概念</w:t>
            </w:r>
          </w:p>
        </w:tc>
        <w:tc>
          <w:tcPr>
            <w:tcW w:w="6550" w:type="dxa"/>
            <w:vAlign w:val="center"/>
          </w:tcPr>
          <w:p>
            <w:pPr>
              <w:rPr>
                <w:rFonts w:ascii="宋体" w:hAnsi="宋体" w:eastAsia="宋体" w:cs="宋体"/>
                <w:kern w:val="0"/>
                <w:sz w:val="18"/>
                <w:szCs w:val="18"/>
              </w:rPr>
            </w:pPr>
            <w:r>
              <w:rPr>
                <w:rFonts w:hint="eastAsia" w:ascii="宋体" w:hAnsi="宋体" w:eastAsia="宋体" w:cs="宋体"/>
                <w:kern w:val="0"/>
                <w:sz w:val="18"/>
                <w:szCs w:val="18"/>
              </w:rPr>
              <w:t>了解个人信息安全基本概念</w:t>
            </w:r>
          </w:p>
          <w:p>
            <w:pPr>
              <w:rPr>
                <w:rFonts w:ascii="宋体" w:hAnsi="宋体" w:eastAsia="宋体" w:cs="宋体"/>
                <w:kern w:val="0"/>
                <w:sz w:val="18"/>
                <w:szCs w:val="18"/>
              </w:rPr>
            </w:pPr>
            <w:r>
              <w:rPr>
                <w:rFonts w:hint="eastAsia" w:ascii="宋体" w:hAnsi="宋体" w:eastAsia="宋体" w:cs="宋体"/>
                <w:kern w:val="0"/>
                <w:sz w:val="18"/>
                <w:szCs w:val="18"/>
              </w:rPr>
              <w:t>了解个人信息安全的法律法规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832" w:type="dxa"/>
            <w:vAlign w:val="center"/>
          </w:tcPr>
          <w:p>
            <w:pPr>
              <w:pStyle w:val="60"/>
              <w:ind w:firstLine="0" w:firstLineChars="0"/>
              <w:rPr>
                <w:rFonts w:ascii="宋体" w:hAnsi="宋体" w:cs="宋体"/>
                <w:kern w:val="0"/>
                <w:sz w:val="18"/>
                <w:szCs w:val="18"/>
              </w:rPr>
            </w:pPr>
            <w:r>
              <w:rPr>
                <w:rFonts w:hint="eastAsia" w:ascii="宋体" w:hAnsi="宋体" w:cs="宋体"/>
                <w:kern w:val="0"/>
                <w:sz w:val="18"/>
                <w:szCs w:val="18"/>
              </w:rPr>
              <w:t>重要数据出境安全评估</w:t>
            </w:r>
          </w:p>
        </w:tc>
        <w:tc>
          <w:tcPr>
            <w:tcW w:w="6550" w:type="dxa"/>
            <w:vAlign w:val="center"/>
          </w:tcPr>
          <w:p>
            <w:pPr>
              <w:rPr>
                <w:rFonts w:ascii="宋体" w:hAnsi="宋体" w:eastAsia="宋体" w:cs="宋体"/>
                <w:kern w:val="0"/>
                <w:sz w:val="18"/>
                <w:szCs w:val="18"/>
              </w:rPr>
            </w:pPr>
            <w:r>
              <w:rPr>
                <w:rFonts w:hint="eastAsia" w:ascii="宋体" w:hAnsi="宋体" w:eastAsia="宋体" w:cs="宋体"/>
                <w:kern w:val="0"/>
                <w:sz w:val="18"/>
                <w:szCs w:val="18"/>
              </w:rPr>
              <w:t>了解重要数据出境安全评估基本概念</w:t>
            </w:r>
          </w:p>
          <w:p>
            <w:pPr>
              <w:rPr>
                <w:rFonts w:ascii="宋体" w:hAnsi="宋体" w:eastAsia="宋体" w:cs="宋体"/>
                <w:kern w:val="0"/>
                <w:sz w:val="18"/>
                <w:szCs w:val="18"/>
              </w:rPr>
            </w:pPr>
            <w:r>
              <w:rPr>
                <w:rFonts w:hint="eastAsia" w:ascii="宋体" w:hAnsi="宋体" w:eastAsia="宋体" w:cs="宋体"/>
                <w:kern w:val="0"/>
                <w:sz w:val="18"/>
                <w:szCs w:val="18"/>
              </w:rPr>
              <w:t>理解出境数据的界定和评估内容</w:t>
            </w:r>
          </w:p>
          <w:p>
            <w:pPr>
              <w:rPr>
                <w:rFonts w:ascii="宋体" w:hAnsi="宋体" w:eastAsia="宋体" w:cs="宋体"/>
                <w:kern w:val="0"/>
                <w:sz w:val="18"/>
                <w:szCs w:val="18"/>
              </w:rPr>
            </w:pPr>
            <w:r>
              <w:rPr>
                <w:rFonts w:hint="eastAsia" w:ascii="宋体" w:hAnsi="宋体" w:eastAsia="宋体" w:cs="宋体"/>
                <w:kern w:val="0"/>
                <w:sz w:val="18"/>
                <w:szCs w:val="18"/>
              </w:rPr>
              <w:t>掌握禁止出境的数据，数据出境评估流程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1832" w:type="dxa"/>
            <w:vAlign w:val="center"/>
          </w:tcPr>
          <w:p>
            <w:pPr>
              <w:pStyle w:val="60"/>
              <w:ind w:firstLine="0" w:firstLineChars="0"/>
              <w:rPr>
                <w:rFonts w:ascii="宋体" w:hAnsi="宋体" w:cs="宋体"/>
                <w:kern w:val="0"/>
                <w:sz w:val="18"/>
                <w:szCs w:val="18"/>
              </w:rPr>
            </w:pPr>
            <w:r>
              <w:rPr>
                <w:rFonts w:hint="eastAsia" w:ascii="宋体" w:hAnsi="宋体" w:cs="宋体"/>
                <w:kern w:val="0"/>
                <w:sz w:val="18"/>
                <w:szCs w:val="18"/>
              </w:rPr>
              <w:t>个人信息出境安全评估方法</w:t>
            </w:r>
          </w:p>
        </w:tc>
        <w:tc>
          <w:tcPr>
            <w:tcW w:w="6550"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掌握个人信息出境的评估范围和流程</w:t>
            </w:r>
          </w:p>
          <w:p>
            <w:pPr>
              <w:rPr>
                <w:rFonts w:ascii="宋体" w:hAnsi="宋体" w:eastAsia="宋体" w:cs="宋体"/>
                <w:kern w:val="0"/>
                <w:sz w:val="18"/>
                <w:szCs w:val="18"/>
              </w:rPr>
            </w:pPr>
            <w:r>
              <w:rPr>
                <w:rFonts w:hint="eastAsia" w:ascii="宋体" w:hAnsi="宋体" w:eastAsia="宋体" w:cs="宋体"/>
                <w:kern w:val="0"/>
                <w:sz w:val="18"/>
                <w:szCs w:val="18"/>
              </w:rPr>
              <w:t>掌握限制出境的个人信息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1832" w:type="dxa"/>
            <w:vAlign w:val="center"/>
          </w:tcPr>
          <w:p>
            <w:pPr>
              <w:pStyle w:val="60"/>
              <w:ind w:firstLine="0" w:firstLineChars="0"/>
              <w:rPr>
                <w:rFonts w:ascii="宋体" w:hAnsi="宋体" w:cs="宋体"/>
                <w:kern w:val="0"/>
                <w:sz w:val="18"/>
                <w:szCs w:val="18"/>
              </w:rPr>
            </w:pPr>
            <w:r>
              <w:rPr>
                <w:rFonts w:hint="eastAsia" w:ascii="宋体" w:hAnsi="宋体" w:cs="宋体"/>
                <w:kern w:val="0"/>
                <w:sz w:val="18"/>
                <w:szCs w:val="18"/>
              </w:rPr>
              <w:t>个人信息安全规范</w:t>
            </w:r>
          </w:p>
        </w:tc>
        <w:tc>
          <w:tcPr>
            <w:tcW w:w="6550"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掌握个人信息安全基本原则</w:t>
            </w:r>
          </w:p>
          <w:p>
            <w:pPr>
              <w:rPr>
                <w:rFonts w:ascii="宋体" w:hAnsi="宋体" w:eastAsia="宋体" w:cs="宋体"/>
                <w:kern w:val="0"/>
                <w:sz w:val="18"/>
                <w:szCs w:val="18"/>
              </w:rPr>
            </w:pPr>
            <w:r>
              <w:rPr>
                <w:rFonts w:hint="eastAsia" w:ascii="宋体" w:hAnsi="宋体" w:eastAsia="宋体" w:cs="宋体"/>
                <w:kern w:val="0"/>
                <w:sz w:val="18"/>
                <w:szCs w:val="18"/>
              </w:rPr>
              <w:t>掌握个人信息安全的收集、保存、使用和共享转让披露的规范</w:t>
            </w:r>
          </w:p>
        </w:tc>
      </w:tr>
    </w:tbl>
    <w:p>
      <w:pPr>
        <w:pStyle w:val="60"/>
        <w:spacing w:before="475" w:beforeLines="150" w:after="158" w:afterLines="50"/>
        <w:ind w:left="160" w:hanging="159" w:hangingChars="76"/>
        <w:rPr>
          <w:rFonts w:ascii="黑体" w:hAnsi="黑体" w:eastAsia="黑体" w:cs="黑体"/>
        </w:rPr>
      </w:pPr>
      <w:r>
        <w:rPr>
          <w:rFonts w:hint="eastAsia" w:ascii="黑体" w:hAnsi="黑体" w:eastAsia="黑体" w:cs="黑体"/>
        </w:rPr>
        <w:t>B.3.4 数据安全保护</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表B.</w:t>
      </w:r>
      <w:r>
        <w:rPr>
          <w:rFonts w:ascii="黑体" w:hAnsi="黑体" w:eastAsia="黑体" w:cs="黑体"/>
        </w:rPr>
        <w:t>5</w:t>
      </w:r>
      <w:r>
        <w:rPr>
          <w:rFonts w:hint="eastAsia" w:ascii="黑体" w:hAnsi="黑体" w:eastAsia="黑体" w:cs="黑体"/>
        </w:rPr>
        <w:t xml:space="preserve"> 重要数据保护课程内容与要求</w:t>
      </w:r>
    </w:p>
    <w:tbl>
      <w:tblPr>
        <w:tblStyle w:val="28"/>
        <w:tblW w:w="933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1832"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552"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基本概念</w:t>
            </w:r>
          </w:p>
        </w:tc>
        <w:tc>
          <w:tcPr>
            <w:tcW w:w="6552"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了解数据、数据处理和数据安全的定义</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了解数据安全工作基本原则</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熟悉数据安全相关国家标准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数据安全制度</w:t>
            </w:r>
          </w:p>
        </w:tc>
        <w:tc>
          <w:tcPr>
            <w:tcW w:w="6552"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了解数据安全的发展、数据标准体系</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了解数据安全制度</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了解数据安全保护义务和法律责任</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了解政务数据安全与开放</w:t>
            </w:r>
          </w:p>
        </w:tc>
      </w:tr>
    </w:tbl>
    <w:p>
      <w:pPr>
        <w:widowControl/>
        <w:spacing w:line="360" w:lineRule="auto"/>
        <w:jc w:val="center"/>
        <w:outlineLvl w:val="0"/>
        <w:rPr>
          <w:rFonts w:ascii="黑体" w:hAnsi="黑体" w:eastAsia="黑体" w:cs="黑体"/>
          <w:kern w:val="0"/>
          <w:szCs w:val="21"/>
        </w:rPr>
      </w:pPr>
      <w:r>
        <w:rPr>
          <w:rFonts w:ascii="黑体" w:hAnsi="黑体" w:eastAsia="黑体" w:cs="黑体"/>
          <w:szCs w:val="21"/>
        </w:rPr>
        <w:br w:type="page"/>
      </w:r>
      <w:bookmarkStart w:id="77" w:name="_Toc5010"/>
      <w:r>
        <w:rPr>
          <w:rFonts w:hint="eastAsia" w:ascii="黑体" w:hAnsi="黑体" w:eastAsia="黑体" w:cs="黑体"/>
          <w:kern w:val="0"/>
          <w:szCs w:val="21"/>
        </w:rPr>
        <w:t xml:space="preserve">附 录 </w:t>
      </w:r>
      <w:bookmarkStart w:id="78" w:name="_Toc3258"/>
      <w:r>
        <w:rPr>
          <w:rFonts w:hint="eastAsia" w:ascii="黑体" w:hAnsi="黑体" w:eastAsia="黑体" w:cs="黑体"/>
          <w:kern w:val="0"/>
          <w:szCs w:val="21"/>
        </w:rPr>
        <w:t>C</w:t>
      </w:r>
      <w:bookmarkEnd w:id="77"/>
    </w:p>
    <w:p>
      <w:pPr>
        <w:widowControl/>
        <w:spacing w:line="360" w:lineRule="auto"/>
        <w:jc w:val="center"/>
        <w:outlineLvl w:val="0"/>
        <w:rPr>
          <w:rFonts w:ascii="黑体" w:hAnsi="黑体" w:eastAsia="黑体" w:cs="黑体"/>
          <w:kern w:val="0"/>
          <w:szCs w:val="21"/>
        </w:rPr>
      </w:pPr>
      <w:bookmarkStart w:id="79" w:name="_Toc12388"/>
      <w:bookmarkStart w:id="80" w:name="_Toc14000"/>
      <w:r>
        <w:rPr>
          <w:rFonts w:hint="eastAsia" w:ascii="黑体" w:hAnsi="黑体" w:eastAsia="黑体" w:cs="黑体"/>
          <w:kern w:val="0"/>
          <w:szCs w:val="21"/>
        </w:rPr>
        <w:t>（规范性）</w:t>
      </w:r>
      <w:bookmarkEnd w:id="78"/>
      <w:bookmarkEnd w:id="79"/>
      <w:bookmarkEnd w:id="80"/>
    </w:p>
    <w:p>
      <w:pPr>
        <w:widowControl/>
        <w:spacing w:after="283" w:line="360" w:lineRule="auto"/>
        <w:jc w:val="center"/>
        <w:outlineLvl w:val="0"/>
        <w:rPr>
          <w:rFonts w:ascii="黑体" w:hAnsi="黑体" w:eastAsia="黑体" w:cs="黑体"/>
          <w:kern w:val="0"/>
          <w:szCs w:val="21"/>
        </w:rPr>
      </w:pPr>
      <w:bookmarkStart w:id="81" w:name="_Toc2757"/>
      <w:bookmarkStart w:id="82" w:name="_Toc21363"/>
      <w:bookmarkStart w:id="83" w:name="_Toc19318"/>
      <w:r>
        <w:rPr>
          <w:rFonts w:hint="eastAsia" w:ascii="黑体" w:hAnsi="黑体" w:eastAsia="黑体" w:cs="黑体"/>
          <w:kern w:val="0"/>
          <w:szCs w:val="21"/>
        </w:rPr>
        <w:t>网络安全规划设计考试大纲</w:t>
      </w:r>
      <w:bookmarkEnd w:id="81"/>
      <w:bookmarkEnd w:id="82"/>
      <w:bookmarkEnd w:id="83"/>
    </w:p>
    <w:p>
      <w:pPr>
        <w:pStyle w:val="36"/>
        <w:spacing w:after="158" w:afterLines="50" w:line="120" w:lineRule="auto"/>
        <w:ind w:firstLine="0" w:firstLineChars="0"/>
        <w:rPr>
          <w:rFonts w:ascii="黑体" w:hAnsi="黑体" w:eastAsia="黑体" w:cs="黑体"/>
          <w:kern w:val="0"/>
        </w:rPr>
      </w:pPr>
      <w:r>
        <w:rPr>
          <w:rFonts w:hint="eastAsia" w:ascii="黑体" w:hAnsi="黑体" w:eastAsia="黑体" w:cs="黑体"/>
          <w:kern w:val="0"/>
        </w:rPr>
        <w:t>C.1 目的</w:t>
      </w:r>
    </w:p>
    <w:p>
      <w:pPr>
        <w:pStyle w:val="36"/>
        <w:spacing w:line="360" w:lineRule="auto"/>
        <w:ind w:left="3" w:firstLine="359" w:firstLineChars="171"/>
        <w:rPr>
          <w:kern w:val="0"/>
        </w:rPr>
      </w:pPr>
      <w:r>
        <w:rPr>
          <w:rFonts w:hint="eastAsia" w:ascii="宋体" w:hAnsi="宋体" w:cs="宋体"/>
          <w:kern w:val="0"/>
        </w:rPr>
        <w:t>为使考生达到本认证规范中网络空间安全专业人员在网络安全规划设计方面能力要求，指导考生有效准备考试，特制定本考试大纲（以下简称大纲）。</w:t>
      </w:r>
    </w:p>
    <w:p>
      <w:pPr>
        <w:pStyle w:val="36"/>
        <w:spacing w:before="158" w:beforeLines="50" w:line="360" w:lineRule="auto"/>
        <w:ind w:firstLine="0" w:firstLineChars="0"/>
        <w:rPr>
          <w:b/>
          <w:bCs/>
          <w:kern w:val="0"/>
        </w:rPr>
      </w:pPr>
      <w:r>
        <w:rPr>
          <w:rFonts w:hint="eastAsia" w:ascii="黑体" w:hAnsi="黑体" w:eastAsia="黑体" w:cs="黑体"/>
          <w:kern w:val="0"/>
        </w:rPr>
        <w:t>C.2 考试内容</w:t>
      </w:r>
    </w:p>
    <w:p>
      <w:pPr>
        <w:pStyle w:val="36"/>
        <w:spacing w:after="158" w:afterLines="50" w:line="360" w:lineRule="auto"/>
        <w:ind w:firstLine="0" w:firstLineChars="0"/>
        <w:rPr>
          <w:rFonts w:ascii="黑体" w:hAnsi="黑体" w:eastAsia="黑体" w:cs="黑体"/>
          <w:kern w:val="0"/>
        </w:rPr>
      </w:pPr>
      <w:r>
        <w:rPr>
          <w:rFonts w:hint="eastAsia" w:ascii="黑体" w:hAnsi="黑体" w:eastAsia="黑体" w:cs="黑体"/>
          <w:kern w:val="0"/>
        </w:rPr>
        <w:t>C.2 .1课程要求和考试比例</w:t>
      </w:r>
    </w:p>
    <w:p>
      <w:pPr>
        <w:pStyle w:val="36"/>
        <w:spacing w:after="158" w:afterLines="50" w:line="360" w:lineRule="auto"/>
        <w:ind w:firstLine="0" w:firstLineChars="0"/>
        <w:jc w:val="center"/>
        <w:rPr>
          <w:rFonts w:ascii="黑体" w:hAnsi="黑体" w:eastAsia="黑体" w:cs="黑体"/>
          <w:kern w:val="0"/>
        </w:rPr>
      </w:pPr>
      <w:r>
        <w:rPr>
          <w:rFonts w:hint="eastAsia" w:ascii="黑体" w:hAnsi="黑体" w:eastAsia="黑体" w:cs="黑体"/>
          <w:kern w:val="0"/>
        </w:rPr>
        <w:t>表C.1 课程要求</w:t>
      </w:r>
    </w:p>
    <w:tbl>
      <w:tblPr>
        <w:tblStyle w:val="28"/>
        <w:tblW w:w="8971"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584" w:type="dxa"/>
          </w:tcPr>
          <w:p>
            <w:pPr>
              <w:pStyle w:val="36"/>
              <w:spacing w:line="12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2835" w:type="dxa"/>
          </w:tcPr>
          <w:p>
            <w:pPr>
              <w:pStyle w:val="36"/>
              <w:spacing w:line="12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552" w:type="dxa"/>
          </w:tcPr>
          <w:p>
            <w:pPr>
              <w:pStyle w:val="36"/>
              <w:spacing w:line="12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tcPr>
          <w:p>
            <w:pPr>
              <w:pStyle w:val="36"/>
              <w:spacing w:line="120" w:lineRule="auto"/>
              <w:ind w:firstLine="0" w:firstLineChars="0"/>
              <w:rPr>
                <w:rFonts w:ascii="宋体" w:hAnsi="宋体" w:cs="宋体"/>
                <w:kern w:val="0"/>
                <w:sz w:val="20"/>
                <w:szCs w:val="20"/>
              </w:rPr>
            </w:pPr>
            <w:r>
              <w:rPr>
                <w:rFonts w:hint="eastAsia" w:ascii="宋体" w:hAnsi="宋体" w:cs="宋体"/>
                <w:kern w:val="0"/>
                <w:sz w:val="20"/>
                <w:szCs w:val="20"/>
              </w:rPr>
              <w:t>网络安全管理实践</w:t>
            </w:r>
          </w:p>
        </w:tc>
        <w:tc>
          <w:tcPr>
            <w:tcW w:w="2835" w:type="dxa"/>
          </w:tcPr>
          <w:p>
            <w:pPr>
              <w:pStyle w:val="36"/>
              <w:spacing w:line="120" w:lineRule="auto"/>
              <w:ind w:firstLine="0" w:firstLineChars="0"/>
              <w:jc w:val="center"/>
              <w:rPr>
                <w:rFonts w:ascii="宋体" w:hAnsi="宋体" w:cs="宋体"/>
                <w:kern w:val="0"/>
                <w:sz w:val="20"/>
                <w:szCs w:val="20"/>
              </w:rPr>
            </w:pPr>
            <w:r>
              <w:rPr>
                <w:rFonts w:hint="eastAsia" w:ascii="宋体" w:hAnsi="宋体" w:cs="宋体"/>
                <w:kern w:val="0"/>
                <w:sz w:val="20"/>
                <w:szCs w:val="20"/>
              </w:rPr>
              <w:t>基础课程</w:t>
            </w:r>
          </w:p>
        </w:tc>
        <w:tc>
          <w:tcPr>
            <w:tcW w:w="2552" w:type="dxa"/>
          </w:tcPr>
          <w:p>
            <w:pPr>
              <w:pStyle w:val="36"/>
              <w:spacing w:line="120" w:lineRule="auto"/>
              <w:ind w:firstLine="0" w:firstLineChars="0"/>
              <w:jc w:val="center"/>
              <w:rPr>
                <w:rFonts w:ascii="宋体" w:hAnsi="宋体" w:cs="宋体"/>
                <w:kern w:val="0"/>
                <w:sz w:val="20"/>
                <w:szCs w:val="20"/>
              </w:rPr>
            </w:pPr>
            <w:r>
              <w:rPr>
                <w:rFonts w:hint="eastAsia" w:ascii="宋体" w:hAnsi="宋体" w:cs="宋体"/>
                <w:kern w:val="0"/>
                <w:sz w:val="20"/>
                <w:szCs w:val="2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584" w:type="dxa"/>
          </w:tcPr>
          <w:p>
            <w:pPr>
              <w:pStyle w:val="36"/>
              <w:spacing w:line="120" w:lineRule="auto"/>
              <w:ind w:firstLine="0" w:firstLineChars="0"/>
              <w:rPr>
                <w:rFonts w:ascii="宋体" w:hAnsi="宋体" w:cs="宋体"/>
                <w:kern w:val="0"/>
                <w:sz w:val="20"/>
                <w:szCs w:val="20"/>
              </w:rPr>
            </w:pPr>
            <w:r>
              <w:rPr>
                <w:rFonts w:hint="eastAsia" w:ascii="宋体" w:hAnsi="宋体" w:cs="宋体"/>
                <w:kern w:val="0"/>
                <w:sz w:val="20"/>
                <w:szCs w:val="20"/>
              </w:rPr>
              <w:t>信息安全技术</w:t>
            </w:r>
          </w:p>
        </w:tc>
        <w:tc>
          <w:tcPr>
            <w:tcW w:w="2835" w:type="dxa"/>
          </w:tcPr>
          <w:p>
            <w:pPr>
              <w:pStyle w:val="36"/>
              <w:spacing w:line="120" w:lineRule="auto"/>
              <w:ind w:firstLine="0" w:firstLineChars="0"/>
              <w:jc w:val="center"/>
              <w:rPr>
                <w:rFonts w:ascii="宋体" w:hAnsi="宋体" w:cs="宋体"/>
                <w:kern w:val="0"/>
                <w:sz w:val="20"/>
                <w:szCs w:val="20"/>
              </w:rPr>
            </w:pPr>
            <w:r>
              <w:rPr>
                <w:rFonts w:hint="eastAsia" w:ascii="宋体" w:hAnsi="宋体" w:cs="宋体"/>
                <w:kern w:val="0"/>
                <w:sz w:val="20"/>
                <w:szCs w:val="20"/>
              </w:rPr>
              <w:t>基础课程</w:t>
            </w:r>
          </w:p>
        </w:tc>
        <w:tc>
          <w:tcPr>
            <w:tcW w:w="2552" w:type="dxa"/>
          </w:tcPr>
          <w:p>
            <w:pPr>
              <w:pStyle w:val="36"/>
              <w:spacing w:line="120" w:lineRule="auto"/>
              <w:ind w:firstLine="0" w:firstLineChars="0"/>
              <w:jc w:val="center"/>
              <w:rPr>
                <w:rFonts w:ascii="宋体" w:hAnsi="宋体" w:cs="宋体"/>
                <w:kern w:val="0"/>
                <w:sz w:val="20"/>
                <w:szCs w:val="20"/>
              </w:rPr>
            </w:pPr>
            <w:r>
              <w:rPr>
                <w:rFonts w:hint="eastAsia" w:ascii="宋体" w:hAnsi="宋体" w:cs="宋体"/>
                <w:kern w:val="0"/>
                <w:sz w:val="20"/>
                <w:szCs w:val="2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584" w:type="dxa"/>
          </w:tcPr>
          <w:p>
            <w:pPr>
              <w:pStyle w:val="36"/>
              <w:spacing w:line="120" w:lineRule="auto"/>
              <w:ind w:firstLine="0" w:firstLineChars="0"/>
              <w:rPr>
                <w:rFonts w:ascii="宋体" w:hAnsi="宋体" w:cs="宋体"/>
                <w:kern w:val="0"/>
                <w:sz w:val="20"/>
                <w:szCs w:val="20"/>
              </w:rPr>
            </w:pPr>
            <w:r>
              <w:rPr>
                <w:rFonts w:hint="eastAsia" w:ascii="宋体" w:hAnsi="宋体" w:cs="宋体"/>
                <w:kern w:val="0"/>
                <w:sz w:val="20"/>
                <w:szCs w:val="20"/>
              </w:rPr>
              <w:t>网络规划与设计</w:t>
            </w:r>
          </w:p>
        </w:tc>
        <w:tc>
          <w:tcPr>
            <w:tcW w:w="2835" w:type="dxa"/>
          </w:tcPr>
          <w:p>
            <w:pPr>
              <w:pStyle w:val="36"/>
              <w:spacing w:line="120" w:lineRule="auto"/>
              <w:ind w:firstLine="0" w:firstLineChars="0"/>
              <w:jc w:val="center"/>
              <w:rPr>
                <w:rFonts w:ascii="宋体" w:hAnsi="宋体" w:cs="宋体"/>
                <w:kern w:val="0"/>
                <w:sz w:val="20"/>
                <w:szCs w:val="20"/>
              </w:rPr>
            </w:pPr>
            <w:r>
              <w:rPr>
                <w:rFonts w:hint="eastAsia" w:ascii="宋体" w:hAnsi="宋体" w:cs="宋体"/>
                <w:kern w:val="0"/>
                <w:sz w:val="20"/>
                <w:szCs w:val="20"/>
              </w:rPr>
              <w:t>专业课程</w:t>
            </w:r>
          </w:p>
        </w:tc>
        <w:tc>
          <w:tcPr>
            <w:tcW w:w="2552" w:type="dxa"/>
          </w:tcPr>
          <w:p>
            <w:pPr>
              <w:pStyle w:val="36"/>
              <w:spacing w:line="120" w:lineRule="auto"/>
              <w:ind w:firstLine="0" w:firstLineChars="0"/>
              <w:jc w:val="center"/>
              <w:rPr>
                <w:rFonts w:ascii="宋体" w:hAnsi="宋体" w:cs="宋体"/>
                <w:kern w:val="0"/>
                <w:sz w:val="20"/>
                <w:szCs w:val="20"/>
              </w:rPr>
            </w:pPr>
            <w:r>
              <w:rPr>
                <w:rFonts w:hint="eastAsia" w:ascii="宋体" w:hAnsi="宋体" w:cs="宋体"/>
                <w:kern w:val="0"/>
                <w:sz w:val="20"/>
                <w:szCs w:val="20"/>
              </w:rPr>
              <w:t>全部</w:t>
            </w:r>
          </w:p>
        </w:tc>
      </w:tr>
    </w:tbl>
    <w:p>
      <w:pPr>
        <w:pStyle w:val="36"/>
        <w:spacing w:before="158" w:beforeLines="50" w:line="360" w:lineRule="auto"/>
        <w:ind w:firstLine="0" w:firstLineChars="0"/>
        <w:rPr>
          <w:rFonts w:ascii="黑体" w:hAnsi="黑体" w:eastAsia="黑体" w:cs="黑体"/>
          <w:kern w:val="0"/>
        </w:rPr>
      </w:pPr>
      <w:r>
        <w:rPr>
          <w:rFonts w:hint="eastAsia" w:ascii="黑体" w:hAnsi="黑体" w:eastAsia="黑体" w:cs="黑体"/>
          <w:kern w:val="0"/>
        </w:rPr>
        <w:t>C.3 各课程知识点要求</w:t>
      </w:r>
    </w:p>
    <w:p>
      <w:pPr>
        <w:pStyle w:val="36"/>
        <w:spacing w:before="317" w:beforeLines="100" w:after="158" w:afterLines="50" w:line="120" w:lineRule="auto"/>
        <w:ind w:left="580" w:hanging="579" w:hangingChars="276"/>
        <w:rPr>
          <w:rFonts w:ascii="黑体" w:hAnsi="黑体" w:eastAsia="黑体" w:cs="黑体"/>
          <w:kern w:val="0"/>
        </w:rPr>
      </w:pPr>
      <w:r>
        <w:rPr>
          <w:rFonts w:hint="eastAsia" w:ascii="黑体" w:hAnsi="黑体" w:eastAsia="黑体" w:cs="黑体"/>
          <w:kern w:val="0"/>
        </w:rPr>
        <w:t>C.3.1 网络规划与设计</w:t>
      </w:r>
    </w:p>
    <w:p>
      <w:pPr>
        <w:pStyle w:val="36"/>
        <w:spacing w:before="317" w:beforeLines="100" w:after="158" w:afterLines="50" w:line="120" w:lineRule="auto"/>
        <w:ind w:left="580" w:hanging="579" w:hangingChars="276"/>
        <w:jc w:val="center"/>
        <w:rPr>
          <w:rFonts w:ascii="黑体" w:hAnsi="黑体" w:eastAsia="黑体" w:cs="黑体"/>
          <w:kern w:val="0"/>
        </w:rPr>
      </w:pPr>
      <w:r>
        <w:rPr>
          <w:rFonts w:hint="eastAsia" w:ascii="黑体" w:hAnsi="黑体" w:eastAsia="黑体" w:cs="黑体"/>
          <w:kern w:val="0"/>
        </w:rPr>
        <w:t>表 C.2网络规划与设计内容与要求</w:t>
      </w:r>
    </w:p>
    <w:tbl>
      <w:tblPr>
        <w:tblStyle w:val="28"/>
        <w:tblW w:w="91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723"/>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30" w:type="dxa"/>
            <w:vAlign w:val="center"/>
          </w:tcPr>
          <w:p>
            <w:pPr>
              <w:pStyle w:val="36"/>
              <w:spacing w:line="120"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1723" w:type="dxa"/>
            <w:vAlign w:val="center"/>
          </w:tcPr>
          <w:p>
            <w:pPr>
              <w:pStyle w:val="36"/>
              <w:spacing w:line="120"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466" w:type="dxa"/>
            <w:vAlign w:val="center"/>
          </w:tcPr>
          <w:p>
            <w:pPr>
              <w:pStyle w:val="36"/>
              <w:spacing w:line="120"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exact"/>
        </w:trPr>
        <w:tc>
          <w:tcPr>
            <w:tcW w:w="930"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723"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计算机网络原理</w:t>
            </w:r>
          </w:p>
        </w:tc>
        <w:tc>
          <w:tcPr>
            <w:tcW w:w="6466"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掌握计算机网络概念、组成、分类、体系结构知识</w:t>
            </w:r>
          </w:p>
          <w:p>
            <w:pPr>
              <w:rPr>
                <w:rFonts w:ascii="宋体" w:hAnsi="宋体" w:eastAsia="宋体" w:cs="宋体"/>
                <w:kern w:val="0"/>
                <w:sz w:val="18"/>
                <w:szCs w:val="18"/>
              </w:rPr>
            </w:pPr>
            <w:r>
              <w:rPr>
                <w:rFonts w:hint="eastAsia" w:ascii="宋体" w:hAnsi="宋体" w:eastAsia="宋体" w:cs="宋体"/>
                <w:kern w:val="0"/>
                <w:sz w:val="18"/>
                <w:szCs w:val="18"/>
              </w:rPr>
              <w:t>掌握数据通信基础知识，如数据通信系统、数据调制与编码、多路复用技术、数据交换方式、传输介质、检错与纠错等知识</w:t>
            </w:r>
          </w:p>
          <w:p>
            <w:pPr>
              <w:rPr>
                <w:rFonts w:ascii="宋体" w:hAnsi="宋体" w:eastAsia="宋体" w:cs="宋体"/>
                <w:kern w:val="0"/>
                <w:sz w:val="18"/>
                <w:szCs w:val="18"/>
              </w:rPr>
            </w:pPr>
            <w:r>
              <w:rPr>
                <w:rFonts w:hint="eastAsia" w:ascii="宋体" w:hAnsi="宋体" w:eastAsia="宋体" w:cs="宋体"/>
                <w:kern w:val="0"/>
                <w:sz w:val="18"/>
                <w:szCs w:val="18"/>
              </w:rPr>
              <w:t>掌握网络体系结构、网络设备和网络软件知识</w:t>
            </w:r>
          </w:p>
          <w:p>
            <w:pPr>
              <w:rPr>
                <w:rFonts w:ascii="宋体" w:hAnsi="宋体" w:eastAsia="宋体" w:cs="宋体"/>
                <w:kern w:val="0"/>
                <w:sz w:val="18"/>
                <w:szCs w:val="18"/>
              </w:rPr>
            </w:pPr>
            <w:r>
              <w:rPr>
                <w:rFonts w:hint="eastAsia" w:ascii="宋体" w:hAnsi="宋体" w:eastAsia="宋体" w:cs="宋体"/>
                <w:kern w:val="0"/>
                <w:sz w:val="18"/>
                <w:szCs w:val="18"/>
              </w:rPr>
              <w:t>掌握局域网、广域网与接入网知识</w:t>
            </w:r>
          </w:p>
          <w:p>
            <w:pPr>
              <w:rPr>
                <w:rFonts w:ascii="宋体" w:hAnsi="宋体" w:eastAsia="宋体" w:cs="宋体"/>
                <w:kern w:val="0"/>
                <w:sz w:val="18"/>
                <w:szCs w:val="18"/>
              </w:rPr>
            </w:pPr>
            <w:r>
              <w:rPr>
                <w:rFonts w:hint="eastAsia" w:ascii="宋体" w:hAnsi="宋体" w:eastAsia="宋体" w:cs="宋体"/>
                <w:kern w:val="0"/>
                <w:sz w:val="18"/>
                <w:szCs w:val="18"/>
              </w:rPr>
              <w:t>掌握网络互联、Internet协议、网络管理、服务质量技术等知识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exact"/>
        </w:trPr>
        <w:tc>
          <w:tcPr>
            <w:tcW w:w="930"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723"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计算机网络规划与设计</w:t>
            </w:r>
          </w:p>
        </w:tc>
        <w:tc>
          <w:tcPr>
            <w:tcW w:w="6466"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掌握计算机网络基本元素、互联设备、网络性能、网络设计文档等知识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掌握网络分析与设计过程知识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掌握网络需求分析、通信规范、逻辑网络设计、物理网络设计、网络测试试运行和维护、网络故障分析与处理等知识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30"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1723"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网络资源设备</w:t>
            </w:r>
          </w:p>
        </w:tc>
        <w:tc>
          <w:tcPr>
            <w:tcW w:w="6466"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掌握网络服务器、网络存储系统、其他资源设备等知识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9" w:hRule="exact"/>
        </w:trPr>
        <w:tc>
          <w:tcPr>
            <w:tcW w:w="930"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1723"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网络安全</w:t>
            </w:r>
          </w:p>
        </w:tc>
        <w:tc>
          <w:tcPr>
            <w:tcW w:w="6466"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掌握恶意代码、黑客攻击及其预防、防火墙应用配置、ISA</w:t>
            </w:r>
            <w:r>
              <w:rPr>
                <w:rFonts w:ascii="宋体" w:hAnsi="宋体" w:cs="宋体"/>
                <w:kern w:val="0"/>
                <w:sz w:val="18"/>
                <w:szCs w:val="18"/>
              </w:rPr>
              <w:t xml:space="preserve"> </w:t>
            </w:r>
            <w:r>
              <w:rPr>
                <w:rFonts w:hint="eastAsia" w:ascii="宋体" w:hAnsi="宋体" w:cs="宋体"/>
                <w:kern w:val="0"/>
                <w:sz w:val="18"/>
                <w:szCs w:val="18"/>
              </w:rPr>
              <w:t>Server应用配置知识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掌握IDS和IPS、访问控制技术、VPN技术等知识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掌握企业网络安全隔离知识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掌握公钥基础机构、文件加密和电子签章等知识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掌握网络安全应用协议、桌面安全解决方案、系统安全、安全审计、安全管理制度等知识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exact"/>
        </w:trPr>
        <w:tc>
          <w:tcPr>
            <w:tcW w:w="930"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1723" w:type="dxa"/>
            <w:vAlign w:val="center"/>
          </w:tcPr>
          <w:p>
            <w:pPr>
              <w:pStyle w:val="36"/>
              <w:adjustRightInd w:val="0"/>
              <w:snapToGrid w:val="0"/>
              <w:ind w:firstLine="0" w:firstLineChars="0"/>
              <w:rPr>
                <w:rFonts w:ascii="宋体" w:hAnsi="宋体" w:cs="宋体"/>
                <w:kern w:val="0"/>
                <w:sz w:val="18"/>
                <w:szCs w:val="18"/>
              </w:rPr>
            </w:pPr>
            <w:r>
              <w:rPr>
                <w:rFonts w:hint="eastAsia" w:ascii="宋体" w:hAnsi="宋体" w:cs="宋体"/>
                <w:kern w:val="0"/>
                <w:sz w:val="18"/>
                <w:szCs w:val="18"/>
              </w:rPr>
              <w:t>标准化和知识产权</w:t>
            </w:r>
          </w:p>
        </w:tc>
        <w:tc>
          <w:tcPr>
            <w:tcW w:w="6466"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掌握标准化概念、过程、分类、编号、标准化组织、信息技术标准等知识</w:t>
            </w:r>
          </w:p>
          <w:p>
            <w:pPr>
              <w:pStyle w:val="36"/>
              <w:ind w:firstLine="0" w:firstLineChars="0"/>
              <w:rPr>
                <w:rFonts w:ascii="宋体" w:hAnsi="宋体" w:cs="宋体"/>
                <w:kern w:val="0"/>
                <w:sz w:val="18"/>
                <w:szCs w:val="18"/>
              </w:rPr>
            </w:pPr>
            <w:r>
              <w:rPr>
                <w:rFonts w:hint="eastAsia" w:ascii="宋体" w:hAnsi="宋体" w:cs="宋体"/>
                <w:kern w:val="0"/>
                <w:sz w:val="18"/>
                <w:szCs w:val="18"/>
              </w:rPr>
              <w:t>掌握知识产权概念、计算机软件著作权法等知识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exact"/>
        </w:trPr>
        <w:tc>
          <w:tcPr>
            <w:tcW w:w="930"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1723" w:type="dxa"/>
            <w:vAlign w:val="center"/>
          </w:tcPr>
          <w:p>
            <w:pPr>
              <w:pStyle w:val="36"/>
              <w:adjustRightInd w:val="0"/>
              <w:snapToGrid w:val="0"/>
              <w:ind w:firstLine="0" w:firstLineChars="0"/>
              <w:jc w:val="center"/>
              <w:rPr>
                <w:rFonts w:ascii="宋体" w:hAnsi="宋体" w:cs="宋体"/>
                <w:kern w:val="0"/>
                <w:sz w:val="18"/>
                <w:szCs w:val="18"/>
              </w:rPr>
            </w:pPr>
            <w:r>
              <w:rPr>
                <w:rFonts w:hint="eastAsia" w:ascii="宋体" w:hAnsi="宋体" w:cs="宋体"/>
                <w:kern w:val="0"/>
                <w:sz w:val="18"/>
                <w:szCs w:val="18"/>
              </w:rPr>
              <w:t>网络系统分析与设计案例</w:t>
            </w:r>
          </w:p>
        </w:tc>
        <w:tc>
          <w:tcPr>
            <w:tcW w:w="6466"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掌握网络规划、优化、配置、故障分析与处理</w:t>
            </w:r>
          </w:p>
        </w:tc>
      </w:tr>
    </w:tbl>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br w:type="page"/>
      </w:r>
    </w:p>
    <w:p>
      <w:pPr>
        <w:tabs>
          <w:tab w:val="left" w:pos="3455"/>
        </w:tabs>
        <w:spacing w:line="360" w:lineRule="auto"/>
        <w:jc w:val="center"/>
        <w:outlineLvl w:val="0"/>
        <w:rPr>
          <w:rFonts w:ascii="黑体" w:hAnsi="黑体" w:eastAsia="黑体" w:cs="黑体"/>
          <w:szCs w:val="21"/>
        </w:rPr>
      </w:pPr>
      <w:bookmarkStart w:id="84" w:name="_Toc10804"/>
      <w:r>
        <w:rPr>
          <w:rFonts w:hint="eastAsia" w:ascii="黑体" w:hAnsi="黑体" w:eastAsia="黑体" w:cs="黑体"/>
          <w:szCs w:val="21"/>
        </w:rPr>
        <w:t xml:space="preserve">附 录 </w:t>
      </w:r>
      <w:bookmarkStart w:id="85" w:name="_Toc30049"/>
      <w:r>
        <w:rPr>
          <w:rFonts w:hint="eastAsia" w:ascii="黑体" w:hAnsi="黑体" w:eastAsia="黑体" w:cs="黑体"/>
          <w:szCs w:val="21"/>
        </w:rPr>
        <w:t>D</w:t>
      </w:r>
      <w:bookmarkEnd w:id="84"/>
    </w:p>
    <w:p>
      <w:pPr>
        <w:tabs>
          <w:tab w:val="left" w:pos="3455"/>
        </w:tabs>
        <w:spacing w:line="360" w:lineRule="auto"/>
        <w:jc w:val="center"/>
        <w:outlineLvl w:val="0"/>
        <w:rPr>
          <w:rFonts w:ascii="黑体" w:hAnsi="黑体" w:eastAsia="黑体" w:cs="黑体"/>
          <w:szCs w:val="21"/>
        </w:rPr>
      </w:pPr>
      <w:bookmarkStart w:id="86" w:name="_Toc7531"/>
      <w:bookmarkStart w:id="87" w:name="_Toc12403"/>
      <w:r>
        <w:rPr>
          <w:rFonts w:hint="eastAsia" w:ascii="黑体" w:hAnsi="黑体" w:eastAsia="黑体" w:cs="黑体"/>
          <w:szCs w:val="21"/>
        </w:rPr>
        <w:t>（规范性）</w:t>
      </w:r>
      <w:bookmarkEnd w:id="85"/>
      <w:bookmarkEnd w:id="86"/>
      <w:bookmarkEnd w:id="87"/>
    </w:p>
    <w:p>
      <w:pPr>
        <w:tabs>
          <w:tab w:val="left" w:pos="3455"/>
        </w:tabs>
        <w:spacing w:after="283" w:line="360" w:lineRule="auto"/>
        <w:jc w:val="center"/>
        <w:outlineLvl w:val="0"/>
        <w:rPr>
          <w:rFonts w:ascii="黑体" w:hAnsi="黑体" w:eastAsia="黑体" w:cs="黑体"/>
          <w:szCs w:val="21"/>
        </w:rPr>
      </w:pPr>
      <w:bookmarkStart w:id="88" w:name="_Toc11446"/>
      <w:bookmarkStart w:id="89" w:name="_Toc14029"/>
      <w:bookmarkStart w:id="90" w:name="_Toc2368"/>
      <w:r>
        <w:rPr>
          <w:rFonts w:hint="eastAsia" w:ascii="黑体" w:hAnsi="黑体" w:eastAsia="黑体" w:cs="黑体"/>
          <w:szCs w:val="21"/>
        </w:rPr>
        <w:t>信息系统安全集成考试大纲</w:t>
      </w:r>
      <w:bookmarkEnd w:id="88"/>
      <w:bookmarkEnd w:id="89"/>
      <w:bookmarkEnd w:id="90"/>
    </w:p>
    <w:p>
      <w:pPr>
        <w:pStyle w:val="58"/>
        <w:spacing w:line="360" w:lineRule="auto"/>
        <w:ind w:firstLine="0" w:firstLineChars="0"/>
        <w:rPr>
          <w:rFonts w:ascii="黑体" w:hAnsi="黑体" w:eastAsia="黑体" w:cs="黑体"/>
        </w:rPr>
      </w:pPr>
      <w:r>
        <w:rPr>
          <w:rFonts w:hint="eastAsia" w:ascii="黑体" w:hAnsi="黑体" w:eastAsia="黑体" w:cs="黑体"/>
        </w:rPr>
        <w:t>D.1 目的</w:t>
      </w:r>
    </w:p>
    <w:p>
      <w:pPr>
        <w:pStyle w:val="36"/>
        <w:spacing w:after="158" w:afterLines="50" w:line="360" w:lineRule="auto"/>
        <w:rPr>
          <w:rFonts w:ascii="宋体" w:hAnsi="宋体"/>
          <w:color w:val="000000" w:themeColor="text1"/>
          <w14:textFill>
            <w14:solidFill>
              <w14:schemeClr w14:val="tx1"/>
            </w14:solidFill>
          </w14:textFill>
        </w:rPr>
      </w:pPr>
      <w:r>
        <w:t>为使考生</w:t>
      </w:r>
      <w:r>
        <w:rPr>
          <w:rFonts w:hint="eastAsia"/>
        </w:rPr>
        <w:t>达到本认证规范中网络空间安全专业人员在信息安全集成方向二级、三级能力要求，</w:t>
      </w:r>
      <w:r>
        <w:t>指导考生有效准备考试，特制定本考试大纲</w:t>
      </w:r>
      <w:r>
        <w:rPr>
          <w:rFonts w:hint="eastAsia"/>
        </w:rPr>
        <w:t>（</w:t>
      </w:r>
      <w:r>
        <w:t>以下简称大纲</w:t>
      </w:r>
      <w:r>
        <w:rPr>
          <w:rFonts w:hint="eastAsia"/>
        </w:rPr>
        <w:t>）。</w:t>
      </w:r>
    </w:p>
    <w:p>
      <w:pPr>
        <w:spacing w:line="360" w:lineRule="auto"/>
        <w:rPr>
          <w:rFonts w:ascii="黑体" w:hAnsi="黑体" w:eastAsia="黑体" w:cs="黑体"/>
        </w:rPr>
      </w:pPr>
      <w:r>
        <w:rPr>
          <w:rFonts w:hint="eastAsia" w:ascii="黑体" w:hAnsi="黑体" w:eastAsia="黑体" w:cs="黑体"/>
        </w:rPr>
        <w:t>D.2考试内容</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D.2.1专业课程要求</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表D.1 课程要求</w:t>
      </w:r>
    </w:p>
    <w:tbl>
      <w:tblPr>
        <w:tblStyle w:val="28"/>
        <w:tblW w:w="9172"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课程名称</w:t>
            </w:r>
          </w:p>
        </w:tc>
        <w:tc>
          <w:tcPr>
            <w:tcW w:w="2835" w:type="dxa"/>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课程类型</w:t>
            </w:r>
          </w:p>
        </w:tc>
        <w:tc>
          <w:tcPr>
            <w:tcW w:w="3260" w:type="dxa"/>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项目管理基础</w:t>
            </w:r>
          </w:p>
        </w:tc>
        <w:tc>
          <w:tcPr>
            <w:tcW w:w="2835"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260"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安全集成</w:t>
            </w:r>
          </w:p>
        </w:tc>
        <w:tc>
          <w:tcPr>
            <w:tcW w:w="2835"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260"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通信技术基础</w:t>
            </w:r>
          </w:p>
        </w:tc>
        <w:tc>
          <w:tcPr>
            <w:tcW w:w="2835"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260"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bl>
    <w:p>
      <w:pPr>
        <w:pStyle w:val="58"/>
        <w:spacing w:before="158" w:beforeLines="50" w:line="360" w:lineRule="auto"/>
        <w:ind w:firstLine="0" w:firstLineChars="0"/>
        <w:rPr>
          <w:rFonts w:ascii="黑体" w:hAnsi="黑体" w:eastAsia="黑体" w:cs="黑体"/>
        </w:rPr>
      </w:pPr>
      <w:r>
        <w:rPr>
          <w:rFonts w:hint="eastAsia" w:ascii="黑体" w:hAnsi="黑体" w:eastAsia="黑体" w:cs="黑体"/>
        </w:rPr>
        <w:t>D.3 各课程知识点要求</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D.3 .1项目管理基础</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表D.2 项目管理基础课程内容与要求</w:t>
      </w:r>
    </w:p>
    <w:tbl>
      <w:tblPr>
        <w:tblStyle w:val="28"/>
        <w:tblW w:w="9208"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33"/>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8"/>
              <w:spacing w:line="360" w:lineRule="auto"/>
              <w:ind w:firstLine="0" w:firstLineChars="0"/>
              <w:jc w:val="center"/>
              <w:rPr>
                <w:rFonts w:ascii="黑体" w:hAnsi="黑体" w:eastAsia="黑体" w:cs="黑体"/>
              </w:rPr>
            </w:pPr>
            <w:r>
              <w:rPr>
                <w:rFonts w:hint="eastAsia" w:ascii="黑体" w:hAnsi="黑体" w:eastAsia="黑体" w:cs="黑体"/>
              </w:rPr>
              <w:t>章节号</w:t>
            </w:r>
          </w:p>
        </w:tc>
        <w:tc>
          <w:tcPr>
            <w:tcW w:w="1833" w:type="dxa"/>
            <w:vAlign w:val="center"/>
          </w:tcPr>
          <w:p>
            <w:pPr>
              <w:pStyle w:val="58"/>
              <w:spacing w:line="360" w:lineRule="auto"/>
              <w:ind w:firstLine="0" w:firstLineChars="0"/>
              <w:jc w:val="center"/>
              <w:rPr>
                <w:rFonts w:ascii="黑体" w:hAnsi="黑体" w:eastAsia="黑体" w:cs="黑体"/>
              </w:rPr>
            </w:pPr>
            <w:r>
              <w:rPr>
                <w:rFonts w:hint="eastAsia" w:ascii="黑体" w:hAnsi="黑体" w:eastAsia="黑体" w:cs="黑体"/>
              </w:rPr>
              <w:t>章节名</w:t>
            </w:r>
          </w:p>
        </w:tc>
        <w:tc>
          <w:tcPr>
            <w:tcW w:w="6415" w:type="dxa"/>
            <w:vAlign w:val="center"/>
          </w:tcPr>
          <w:p>
            <w:pPr>
              <w:pStyle w:val="58"/>
              <w:spacing w:line="360" w:lineRule="auto"/>
              <w:ind w:firstLine="0" w:firstLineChars="0"/>
              <w:jc w:val="center"/>
              <w:rPr>
                <w:rFonts w:ascii="黑体" w:hAnsi="黑体" w:eastAsia="黑体" w:cs="黑体"/>
              </w:rPr>
            </w:pPr>
            <w:r>
              <w:rPr>
                <w:rFonts w:hint="eastAsia" w:ascii="黑体" w:hAnsi="黑体" w:eastAsia="黑体" w:cs="黑体"/>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8"/>
              <w:ind w:firstLine="0" w:firstLineChars="0"/>
              <w:jc w:val="center"/>
              <w:rPr>
                <w:rFonts w:ascii="宋体" w:hAnsi="宋体" w:cs="宋体"/>
                <w:sz w:val="18"/>
                <w:szCs w:val="18"/>
              </w:rPr>
            </w:pPr>
            <w:r>
              <w:rPr>
                <w:rFonts w:hint="eastAsia" w:ascii="宋体" w:hAnsi="宋体" w:cs="宋体"/>
                <w:sz w:val="18"/>
                <w:szCs w:val="18"/>
              </w:rPr>
              <w:t>1</w:t>
            </w:r>
          </w:p>
        </w:tc>
        <w:tc>
          <w:tcPr>
            <w:tcW w:w="1833" w:type="dxa"/>
            <w:vAlign w:val="center"/>
          </w:tcPr>
          <w:p>
            <w:pPr>
              <w:pStyle w:val="25"/>
              <w:rPr>
                <w:sz w:val="18"/>
                <w:szCs w:val="18"/>
              </w:rPr>
            </w:pPr>
            <w:r>
              <w:rPr>
                <w:rFonts w:hint="eastAsia"/>
                <w:sz w:val="18"/>
                <w:szCs w:val="18"/>
              </w:rPr>
              <w:t>项 目 管 理 基本概念</w:t>
            </w:r>
          </w:p>
        </w:tc>
        <w:tc>
          <w:tcPr>
            <w:tcW w:w="6415" w:type="dxa"/>
            <w:vAlign w:val="center"/>
          </w:tcPr>
          <w:p>
            <w:pPr>
              <w:pStyle w:val="58"/>
              <w:ind w:firstLine="0" w:firstLineChars="0"/>
              <w:rPr>
                <w:rFonts w:ascii="宋体" w:hAnsi="宋体" w:cs="宋体"/>
                <w:sz w:val="18"/>
                <w:szCs w:val="18"/>
              </w:rPr>
            </w:pPr>
            <w:r>
              <w:rPr>
                <w:rFonts w:hint="eastAsia" w:ascii="宋体" w:hAnsi="宋体" w:cs="宋体"/>
                <w:sz w:val="18"/>
                <w:szCs w:val="18"/>
              </w:rPr>
              <w:t>正确理解项目的本质</w:t>
            </w:r>
          </w:p>
          <w:p>
            <w:pPr>
              <w:pStyle w:val="58"/>
              <w:ind w:firstLine="0" w:firstLineChars="0"/>
              <w:rPr>
                <w:rFonts w:ascii="宋体" w:hAnsi="宋体" w:cs="宋体"/>
                <w:sz w:val="18"/>
                <w:szCs w:val="18"/>
              </w:rPr>
            </w:pPr>
            <w:r>
              <w:rPr>
                <w:rFonts w:hint="eastAsia" w:ascii="宋体" w:hAnsi="宋体" w:cs="宋体"/>
                <w:sz w:val="18"/>
                <w:szCs w:val="18"/>
              </w:rPr>
              <w:t>正确理解管理的本质</w:t>
            </w:r>
          </w:p>
          <w:p>
            <w:pPr>
              <w:pStyle w:val="58"/>
              <w:ind w:firstLine="0" w:firstLineChars="0"/>
              <w:rPr>
                <w:rFonts w:ascii="宋体" w:hAnsi="宋体" w:cs="宋体"/>
                <w:sz w:val="18"/>
                <w:szCs w:val="18"/>
              </w:rPr>
            </w:pPr>
            <w:r>
              <w:rPr>
                <w:rFonts w:hint="eastAsia" w:ascii="宋体" w:hAnsi="宋体" w:cs="宋体"/>
                <w:sz w:val="18"/>
                <w:szCs w:val="18"/>
              </w:rPr>
              <w:t>掌握项目管理的基本分类</w:t>
            </w:r>
          </w:p>
          <w:p>
            <w:pPr>
              <w:pStyle w:val="58"/>
              <w:ind w:firstLine="0" w:firstLineChars="0"/>
              <w:rPr>
                <w:rFonts w:ascii="宋体" w:hAnsi="宋体" w:cs="宋体"/>
                <w:sz w:val="18"/>
                <w:szCs w:val="18"/>
              </w:rPr>
            </w:pPr>
            <w:r>
              <w:rPr>
                <w:rFonts w:hint="eastAsia" w:ascii="宋体" w:hAnsi="宋体" w:cs="宋体"/>
                <w:sz w:val="18"/>
                <w:szCs w:val="18"/>
              </w:rPr>
              <w:t>熟练掌握项目管理的生命周期与流程</w:t>
            </w:r>
          </w:p>
          <w:p>
            <w:pPr>
              <w:pStyle w:val="58"/>
              <w:ind w:firstLine="0" w:firstLineChars="0"/>
              <w:rPr>
                <w:rFonts w:ascii="宋体" w:hAnsi="宋体" w:cs="宋体"/>
                <w:sz w:val="18"/>
                <w:szCs w:val="18"/>
              </w:rPr>
            </w:pPr>
            <w:r>
              <w:rPr>
                <w:rFonts w:hint="eastAsia" w:ascii="宋体" w:hAnsi="宋体" w:cs="宋体"/>
                <w:sz w:val="18"/>
                <w:szCs w:val="18"/>
              </w:rPr>
              <w:t>掌握项目管理相对其他管理的特性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8"/>
              <w:ind w:firstLine="0" w:firstLineChars="0"/>
              <w:jc w:val="center"/>
              <w:rPr>
                <w:rFonts w:ascii="宋体" w:hAnsi="宋体" w:cs="宋体"/>
                <w:sz w:val="18"/>
                <w:szCs w:val="18"/>
              </w:rPr>
            </w:pPr>
            <w:r>
              <w:rPr>
                <w:rFonts w:hint="eastAsia" w:ascii="宋体" w:hAnsi="宋体" w:cs="宋体"/>
                <w:sz w:val="18"/>
                <w:szCs w:val="18"/>
              </w:rPr>
              <w:t>2</w:t>
            </w:r>
          </w:p>
        </w:tc>
        <w:tc>
          <w:tcPr>
            <w:tcW w:w="1833" w:type="dxa"/>
            <w:vAlign w:val="center"/>
          </w:tcPr>
          <w:p>
            <w:pPr>
              <w:pStyle w:val="58"/>
              <w:ind w:firstLine="0" w:firstLineChars="0"/>
              <w:rPr>
                <w:rFonts w:ascii="宋体" w:hAnsi="宋体" w:cs="宋体"/>
                <w:sz w:val="18"/>
                <w:szCs w:val="18"/>
              </w:rPr>
            </w:pPr>
            <w:r>
              <w:rPr>
                <w:rFonts w:hint="eastAsia" w:ascii="宋体" w:hAnsi="宋体" w:cs="宋体"/>
                <w:sz w:val="18"/>
                <w:szCs w:val="18"/>
              </w:rPr>
              <w:t>项目管理的发展历 史与现状</w:t>
            </w:r>
          </w:p>
        </w:tc>
        <w:tc>
          <w:tcPr>
            <w:tcW w:w="6415" w:type="dxa"/>
            <w:vAlign w:val="center"/>
          </w:tcPr>
          <w:p>
            <w:pPr>
              <w:pStyle w:val="58"/>
              <w:ind w:firstLine="0" w:firstLineChars="0"/>
              <w:rPr>
                <w:rFonts w:ascii="宋体" w:hAnsi="宋体" w:cs="宋体"/>
                <w:sz w:val="18"/>
                <w:szCs w:val="18"/>
              </w:rPr>
            </w:pPr>
            <w:r>
              <w:rPr>
                <w:rFonts w:hint="eastAsia" w:ascii="宋体" w:hAnsi="宋体" w:cs="宋体"/>
                <w:sz w:val="18"/>
                <w:szCs w:val="18"/>
              </w:rPr>
              <w:t>了解项目管理的发展过程</w:t>
            </w:r>
          </w:p>
          <w:p>
            <w:pPr>
              <w:pStyle w:val="58"/>
              <w:ind w:firstLine="0" w:firstLineChars="0"/>
              <w:rPr>
                <w:rFonts w:ascii="宋体" w:hAnsi="宋体" w:cs="宋体"/>
                <w:sz w:val="18"/>
                <w:szCs w:val="18"/>
              </w:rPr>
            </w:pPr>
            <w:r>
              <w:rPr>
                <w:rFonts w:hint="eastAsia" w:ascii="宋体" w:hAnsi="宋体" w:cs="宋体"/>
                <w:sz w:val="18"/>
                <w:szCs w:val="18"/>
              </w:rPr>
              <w:t>了解国际项目管理发展现状</w:t>
            </w:r>
          </w:p>
          <w:p>
            <w:pPr>
              <w:pStyle w:val="58"/>
              <w:ind w:firstLine="0" w:firstLineChars="0"/>
              <w:rPr>
                <w:rFonts w:ascii="宋体" w:hAnsi="宋体" w:cs="宋体"/>
                <w:sz w:val="18"/>
                <w:szCs w:val="18"/>
              </w:rPr>
            </w:pPr>
            <w:r>
              <w:rPr>
                <w:rFonts w:hint="eastAsia" w:ascii="宋体" w:hAnsi="宋体" w:cs="宋体"/>
                <w:sz w:val="18"/>
                <w:szCs w:val="18"/>
              </w:rPr>
              <w:t>了解国际国内项目管理人员认证情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8"/>
              <w:ind w:firstLine="0" w:firstLineChars="0"/>
              <w:jc w:val="center"/>
              <w:rPr>
                <w:rFonts w:ascii="宋体" w:hAnsi="宋体" w:cs="宋体"/>
                <w:sz w:val="18"/>
                <w:szCs w:val="18"/>
              </w:rPr>
            </w:pPr>
            <w:r>
              <w:rPr>
                <w:rFonts w:hint="eastAsia" w:ascii="宋体" w:hAnsi="宋体" w:cs="宋体"/>
                <w:sz w:val="18"/>
                <w:szCs w:val="18"/>
              </w:rPr>
              <w:t>3</w:t>
            </w:r>
          </w:p>
        </w:tc>
        <w:tc>
          <w:tcPr>
            <w:tcW w:w="1833" w:type="dxa"/>
            <w:vAlign w:val="center"/>
          </w:tcPr>
          <w:p>
            <w:pPr>
              <w:pStyle w:val="60"/>
              <w:ind w:firstLine="0" w:firstLineChars="0"/>
              <w:rPr>
                <w:rFonts w:ascii="宋体" w:hAnsi="宋体" w:cs="宋体"/>
                <w:sz w:val="18"/>
                <w:szCs w:val="18"/>
              </w:rPr>
            </w:pPr>
            <w:r>
              <w:rPr>
                <w:rFonts w:hint="eastAsia" w:ascii="宋体" w:hAnsi="宋体" w:cs="宋体"/>
                <w:sz w:val="18"/>
                <w:szCs w:val="18"/>
              </w:rPr>
              <w:t>九大项目管理知识领域</w:t>
            </w:r>
          </w:p>
        </w:tc>
        <w:tc>
          <w:tcPr>
            <w:tcW w:w="6415" w:type="dxa"/>
            <w:vAlign w:val="center"/>
          </w:tcPr>
          <w:p>
            <w:pPr>
              <w:pStyle w:val="60"/>
              <w:ind w:firstLine="0" w:firstLineChars="0"/>
              <w:rPr>
                <w:rFonts w:ascii="宋体" w:hAnsi="宋体" w:cs="宋体"/>
                <w:sz w:val="18"/>
                <w:szCs w:val="18"/>
              </w:rPr>
            </w:pPr>
            <w:r>
              <w:rPr>
                <w:rFonts w:hint="eastAsia" w:ascii="宋体" w:hAnsi="宋体" w:cs="宋体"/>
                <w:sz w:val="18"/>
                <w:szCs w:val="18"/>
              </w:rPr>
              <w:t>熟练掌握项目综合管 理、项目范围管理、 项目时间管理、项目成本管理、项目质量 管理、项目人力资源管理、项目沟通管理、 项目风险管理和项目采购管理思想与方法</w:t>
            </w:r>
          </w:p>
          <w:p>
            <w:pPr>
              <w:pStyle w:val="60"/>
              <w:ind w:firstLine="0" w:firstLineChars="0"/>
              <w:rPr>
                <w:rFonts w:ascii="宋体" w:hAnsi="宋体" w:cs="宋体"/>
                <w:sz w:val="18"/>
                <w:szCs w:val="18"/>
              </w:rPr>
            </w:pPr>
            <w:r>
              <w:rPr>
                <w:rFonts w:hint="eastAsia" w:ascii="宋体" w:hAnsi="宋体" w:cs="宋体"/>
                <w:sz w:val="18"/>
                <w:szCs w:val="18"/>
              </w:rPr>
              <w:t>掌握项目综合管理、 项目范围管理、项目 时间管理、项目成本管理、项目质量管理、 项目人力资源管理、 项目沟通管理、项目风险管理和项目采购管理工具和实施技巧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8"/>
              <w:ind w:firstLine="0" w:firstLineChars="0"/>
              <w:jc w:val="center"/>
              <w:rPr>
                <w:rFonts w:ascii="宋体" w:hAnsi="宋体" w:cs="宋体"/>
                <w:sz w:val="18"/>
                <w:szCs w:val="18"/>
              </w:rPr>
            </w:pPr>
            <w:r>
              <w:rPr>
                <w:rFonts w:hint="eastAsia" w:ascii="宋体" w:hAnsi="宋体" w:cs="宋体"/>
                <w:sz w:val="18"/>
                <w:szCs w:val="18"/>
              </w:rPr>
              <w:t>4</w:t>
            </w:r>
          </w:p>
        </w:tc>
        <w:tc>
          <w:tcPr>
            <w:tcW w:w="1833" w:type="dxa"/>
            <w:vAlign w:val="center"/>
          </w:tcPr>
          <w:p>
            <w:pPr>
              <w:pStyle w:val="60"/>
              <w:ind w:firstLine="0" w:firstLineChars="0"/>
              <w:rPr>
                <w:rFonts w:ascii="宋体" w:hAnsi="宋体" w:cs="宋体"/>
                <w:sz w:val="18"/>
                <w:szCs w:val="18"/>
              </w:rPr>
            </w:pPr>
            <w:r>
              <w:rPr>
                <w:rFonts w:hint="eastAsia" w:ascii="宋体" w:hAnsi="宋体" w:cs="宋体"/>
                <w:sz w:val="18"/>
                <w:szCs w:val="18"/>
              </w:rPr>
              <w:t>集成类项目管理技巧</w:t>
            </w:r>
          </w:p>
        </w:tc>
        <w:tc>
          <w:tcPr>
            <w:tcW w:w="6415" w:type="dxa"/>
            <w:vAlign w:val="center"/>
          </w:tcPr>
          <w:p>
            <w:pPr>
              <w:pStyle w:val="60"/>
              <w:ind w:firstLine="0" w:firstLineChars="0"/>
              <w:rPr>
                <w:rFonts w:ascii="宋体" w:hAnsi="宋体" w:cs="宋体"/>
                <w:sz w:val="18"/>
                <w:szCs w:val="18"/>
              </w:rPr>
            </w:pPr>
            <w:r>
              <w:rPr>
                <w:rFonts w:hint="eastAsia" w:ascii="宋体" w:hAnsi="宋体" w:cs="宋体"/>
                <w:sz w:val="18"/>
                <w:szCs w:val="18"/>
              </w:rPr>
              <w:t>掌握集成类项目管理的特点</w:t>
            </w:r>
          </w:p>
          <w:p>
            <w:pPr>
              <w:pStyle w:val="60"/>
              <w:ind w:firstLine="0" w:firstLineChars="0"/>
              <w:rPr>
                <w:rFonts w:ascii="宋体" w:hAnsi="宋体" w:cs="宋体"/>
                <w:sz w:val="18"/>
                <w:szCs w:val="18"/>
              </w:rPr>
            </w:pPr>
            <w:r>
              <w:rPr>
                <w:rFonts w:hint="eastAsia" w:ascii="宋体" w:hAnsi="宋体" w:cs="宋体"/>
                <w:sz w:val="18"/>
                <w:szCs w:val="18"/>
              </w:rPr>
              <w:t>掌握集成类项目生命周期</w:t>
            </w:r>
          </w:p>
          <w:p>
            <w:pPr>
              <w:pStyle w:val="60"/>
              <w:ind w:firstLine="0" w:firstLineChars="0"/>
              <w:rPr>
                <w:rFonts w:ascii="宋体" w:hAnsi="宋体" w:cs="宋体"/>
                <w:sz w:val="18"/>
                <w:szCs w:val="18"/>
              </w:rPr>
            </w:pPr>
            <w:r>
              <w:rPr>
                <w:rFonts w:hint="eastAsia" w:ascii="宋体" w:hAnsi="宋体" w:cs="宋体"/>
                <w:sz w:val="18"/>
                <w:szCs w:val="18"/>
              </w:rPr>
              <w:t>掌握集成类项目九大管理知识领域特性</w:t>
            </w:r>
          </w:p>
          <w:p>
            <w:pPr>
              <w:pStyle w:val="60"/>
              <w:ind w:firstLine="0" w:firstLineChars="0"/>
              <w:rPr>
                <w:rFonts w:ascii="宋体" w:hAnsi="宋体" w:cs="宋体"/>
                <w:sz w:val="18"/>
                <w:szCs w:val="18"/>
              </w:rPr>
            </w:pPr>
            <w:r>
              <w:rPr>
                <w:rFonts w:hint="eastAsia" w:ascii="宋体" w:hAnsi="宋体" w:cs="宋体"/>
                <w:sz w:val="18"/>
                <w:szCs w:val="18"/>
              </w:rPr>
              <w:t>实践一个完整的集成</w:t>
            </w:r>
          </w:p>
        </w:tc>
      </w:tr>
    </w:tbl>
    <w:p>
      <w:pPr>
        <w:pStyle w:val="60"/>
        <w:ind w:firstLine="0" w:firstLineChars="0"/>
      </w:pPr>
    </w:p>
    <w:p>
      <w:pPr>
        <w:pStyle w:val="60"/>
        <w:spacing w:after="158" w:afterLines="50"/>
        <w:ind w:left="443" w:hanging="443" w:hangingChars="211"/>
        <w:jc w:val="left"/>
        <w:rPr>
          <w:rFonts w:ascii="黑体" w:hAnsi="黑体" w:eastAsia="黑体" w:cs="黑体"/>
        </w:rPr>
      </w:pPr>
      <w:r>
        <w:rPr>
          <w:rFonts w:hint="eastAsia" w:ascii="黑体" w:hAnsi="黑体" w:eastAsia="黑体" w:cs="黑体"/>
          <w:color w:val="000000"/>
        </w:rPr>
        <w:t>D.3.2 信息系统</w:t>
      </w:r>
      <w:r>
        <w:rPr>
          <w:rFonts w:hint="eastAsia" w:ascii="黑体" w:hAnsi="黑体" w:eastAsia="黑体" w:cs="黑体"/>
        </w:rPr>
        <w:t>安全集成</w:t>
      </w:r>
    </w:p>
    <w:p>
      <w:pPr>
        <w:pStyle w:val="60"/>
        <w:spacing w:after="158" w:afterLines="50"/>
        <w:ind w:left="443" w:hanging="443" w:hangingChars="211"/>
        <w:jc w:val="center"/>
        <w:rPr>
          <w:rFonts w:ascii="黑体" w:hAnsi="黑体" w:eastAsia="黑体" w:cs="黑体"/>
        </w:rPr>
      </w:pPr>
      <w:r>
        <w:rPr>
          <w:rFonts w:hint="eastAsia" w:ascii="黑体" w:hAnsi="黑体" w:eastAsia="黑体" w:cs="黑体"/>
        </w:rPr>
        <w:t>表D.4 信息系统安全集成课程内容与要求</w:t>
      </w:r>
    </w:p>
    <w:tbl>
      <w:tblPr>
        <w:tblStyle w:val="28"/>
        <w:tblW w:w="923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92"/>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60"/>
              <w:ind w:firstLine="0" w:firstLineChars="0"/>
              <w:jc w:val="center"/>
              <w:rPr>
                <w:rFonts w:ascii="黑体" w:hAnsi="黑体" w:eastAsia="黑体" w:cs="黑体"/>
                <w:color w:val="000000"/>
              </w:rPr>
            </w:pPr>
            <w:r>
              <w:rPr>
                <w:rFonts w:hint="eastAsia" w:ascii="黑体" w:hAnsi="黑体" w:eastAsia="黑体" w:cs="黑体"/>
                <w:color w:val="000000"/>
              </w:rPr>
              <w:t>章节号</w:t>
            </w:r>
          </w:p>
        </w:tc>
        <w:tc>
          <w:tcPr>
            <w:tcW w:w="1892" w:type="dxa"/>
            <w:vAlign w:val="center"/>
          </w:tcPr>
          <w:p>
            <w:pPr>
              <w:pStyle w:val="60"/>
              <w:ind w:firstLine="0" w:firstLineChars="0"/>
              <w:jc w:val="center"/>
              <w:rPr>
                <w:rFonts w:ascii="黑体" w:hAnsi="黑体" w:eastAsia="黑体" w:cs="黑体"/>
                <w:color w:val="000000"/>
              </w:rPr>
            </w:pPr>
            <w:r>
              <w:rPr>
                <w:rFonts w:hint="eastAsia" w:ascii="黑体" w:hAnsi="黑体" w:eastAsia="黑体" w:cs="黑体"/>
                <w:color w:val="000000"/>
              </w:rPr>
              <w:t>章节名</w:t>
            </w:r>
          </w:p>
        </w:tc>
        <w:tc>
          <w:tcPr>
            <w:tcW w:w="6446" w:type="dxa"/>
            <w:vAlign w:val="center"/>
          </w:tcPr>
          <w:p>
            <w:pPr>
              <w:pStyle w:val="60"/>
              <w:ind w:firstLine="0" w:firstLineChars="0"/>
              <w:jc w:val="center"/>
              <w:rPr>
                <w:rFonts w:ascii="黑体" w:hAnsi="黑体" w:eastAsia="黑体" w:cs="黑体"/>
                <w:color w:val="000000"/>
              </w:rPr>
            </w:pPr>
            <w:r>
              <w:rPr>
                <w:rFonts w:hint="eastAsia" w:ascii="黑体" w:hAnsi="黑体" w:eastAsia="黑体" w:cs="黑体"/>
                <w:color w:val="00000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60"/>
              <w:ind w:firstLine="0" w:firstLineChars="0"/>
              <w:jc w:val="center"/>
              <w:rPr>
                <w:rFonts w:ascii="宋体" w:hAnsi="宋体" w:cs="宋体"/>
                <w:sz w:val="18"/>
                <w:szCs w:val="18"/>
              </w:rPr>
            </w:pPr>
            <w:r>
              <w:rPr>
                <w:rFonts w:hint="eastAsia" w:ascii="宋体" w:hAnsi="宋体" w:cs="宋体"/>
                <w:sz w:val="18"/>
                <w:szCs w:val="18"/>
              </w:rPr>
              <w:t>1</w:t>
            </w:r>
          </w:p>
        </w:tc>
        <w:tc>
          <w:tcPr>
            <w:tcW w:w="1892" w:type="dxa"/>
            <w:vAlign w:val="center"/>
          </w:tcPr>
          <w:p>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宋体" w:hAnsi="宋体" w:cs="宋体"/>
                <w:sz w:val="18"/>
                <w:szCs w:val="18"/>
              </w:rPr>
            </w:pPr>
            <w:r>
              <w:rPr>
                <w:rFonts w:hint="eastAsia" w:ascii="宋体" w:hAnsi="宋体" w:cs="宋体"/>
                <w:sz w:val="18"/>
                <w:szCs w:val="18"/>
              </w:rPr>
              <w:t>安全集成的业界标准与实践</w:t>
            </w:r>
          </w:p>
        </w:tc>
        <w:tc>
          <w:tcPr>
            <w:tcW w:w="6446" w:type="dxa"/>
            <w:vAlign w:val="center"/>
          </w:tcPr>
          <w:p>
            <w:pPr>
              <w:pStyle w:val="60"/>
              <w:ind w:firstLine="0" w:firstLineChars="0"/>
              <w:rPr>
                <w:rFonts w:ascii="宋体" w:hAnsi="宋体" w:cs="宋体"/>
                <w:sz w:val="18"/>
                <w:szCs w:val="18"/>
              </w:rPr>
            </w:pPr>
            <w:r>
              <w:rPr>
                <w:rFonts w:hint="eastAsia" w:ascii="宋体" w:hAnsi="宋体" w:cs="宋体"/>
                <w:sz w:val="18"/>
                <w:szCs w:val="18"/>
              </w:rPr>
              <w:t xml:space="preserve">掌握 GB/T 20261 对安全集成的要求 </w:t>
            </w:r>
          </w:p>
          <w:p>
            <w:pPr>
              <w:pStyle w:val="60"/>
              <w:ind w:firstLine="0" w:firstLineChars="0"/>
              <w:rPr>
                <w:rFonts w:ascii="宋体" w:hAnsi="宋体" w:cs="宋体"/>
                <w:sz w:val="18"/>
                <w:szCs w:val="18"/>
              </w:rPr>
            </w:pPr>
            <w:r>
              <w:rPr>
                <w:rFonts w:hint="eastAsia" w:ascii="宋体" w:hAnsi="宋体" w:cs="宋体"/>
                <w:sz w:val="18"/>
                <w:szCs w:val="18"/>
              </w:rPr>
              <w:t xml:space="preserve">掌握 ISO/IEC 21827对安全集成的要求 </w:t>
            </w:r>
          </w:p>
          <w:p>
            <w:pPr>
              <w:pStyle w:val="60"/>
              <w:ind w:firstLine="0" w:firstLineChars="0"/>
              <w:rPr>
                <w:rFonts w:ascii="宋体" w:hAnsi="宋体" w:cs="宋体"/>
                <w:sz w:val="18"/>
                <w:szCs w:val="18"/>
              </w:rPr>
            </w:pPr>
            <w:r>
              <w:rPr>
                <w:rFonts w:hint="eastAsia" w:ascii="宋体" w:hAnsi="宋体" w:cs="宋体"/>
                <w:sz w:val="18"/>
                <w:szCs w:val="18"/>
              </w:rPr>
              <w:t xml:space="preserve">掌握 SSE-CMM3.0 对安全集成的要求 </w:t>
            </w:r>
          </w:p>
          <w:p>
            <w:pPr>
              <w:pStyle w:val="60"/>
              <w:ind w:firstLine="0" w:firstLineChars="0"/>
              <w:rPr>
                <w:rFonts w:ascii="宋体" w:hAnsi="宋体" w:cs="宋体"/>
                <w:sz w:val="18"/>
                <w:szCs w:val="18"/>
              </w:rPr>
            </w:pPr>
            <w:r>
              <w:rPr>
                <w:rFonts w:hint="eastAsia" w:ascii="宋体" w:hAnsi="宋体" w:cs="宋体"/>
                <w:sz w:val="18"/>
                <w:szCs w:val="18"/>
              </w:rPr>
              <w:t xml:space="preserve">掌握信息系统安全集成服务资质认证实施规则对安全集成的要求 </w:t>
            </w:r>
          </w:p>
          <w:p>
            <w:pPr>
              <w:pStyle w:val="60"/>
              <w:ind w:firstLine="0" w:firstLineChars="0"/>
              <w:rPr>
                <w:rFonts w:ascii="宋体" w:hAnsi="宋体" w:cs="宋体"/>
                <w:sz w:val="18"/>
                <w:szCs w:val="18"/>
              </w:rPr>
            </w:pPr>
            <w:r>
              <w:rPr>
                <w:rFonts w:hint="eastAsia" w:ascii="宋体" w:hAnsi="宋体" w:cs="宋体"/>
                <w:sz w:val="18"/>
                <w:szCs w:val="18"/>
              </w:rPr>
              <w:t xml:space="preserve">掌握 CNCA/CTS 0052 信息安全服务资质认证技术规范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60"/>
              <w:ind w:firstLine="0" w:firstLineChars="0"/>
              <w:jc w:val="center"/>
              <w:rPr>
                <w:rFonts w:ascii="宋体" w:hAnsi="宋体" w:cs="宋体"/>
                <w:sz w:val="18"/>
                <w:szCs w:val="18"/>
              </w:rPr>
            </w:pPr>
            <w:r>
              <w:rPr>
                <w:rFonts w:hint="eastAsia" w:ascii="宋体" w:hAnsi="宋体" w:cs="宋体"/>
                <w:sz w:val="18"/>
                <w:szCs w:val="18"/>
              </w:rPr>
              <w:t>2</w:t>
            </w:r>
          </w:p>
        </w:tc>
        <w:tc>
          <w:tcPr>
            <w:tcW w:w="1892" w:type="dxa"/>
            <w:vAlign w:val="center"/>
          </w:tcPr>
          <w:p>
            <w:pPr>
              <w:pStyle w:val="25"/>
              <w:shd w:val="clear" w:color="auto" w:fill="FFFFFF"/>
              <w:jc w:val="both"/>
              <w:rPr>
                <w:sz w:val="18"/>
                <w:szCs w:val="18"/>
              </w:rPr>
            </w:pPr>
            <w:r>
              <w:rPr>
                <w:rFonts w:hint="eastAsia"/>
                <w:sz w:val="18"/>
                <w:szCs w:val="18"/>
              </w:rPr>
              <w:t xml:space="preserve">安全集成过程 </w:t>
            </w:r>
          </w:p>
        </w:tc>
        <w:tc>
          <w:tcPr>
            <w:tcW w:w="6446" w:type="dxa"/>
            <w:vAlign w:val="center"/>
          </w:tcPr>
          <w:p>
            <w:pPr>
              <w:pStyle w:val="60"/>
              <w:ind w:firstLine="0" w:firstLineChars="0"/>
              <w:rPr>
                <w:rFonts w:ascii="宋体" w:hAnsi="宋体" w:cs="宋体"/>
                <w:sz w:val="18"/>
                <w:szCs w:val="18"/>
              </w:rPr>
            </w:pPr>
            <w:r>
              <w:rPr>
                <w:rFonts w:hint="eastAsia" w:ascii="宋体" w:hAnsi="宋体" w:cs="宋体"/>
                <w:sz w:val="18"/>
                <w:szCs w:val="18"/>
              </w:rPr>
              <w:t xml:space="preserve">掌握安全软件集成管 理的全过程 </w:t>
            </w:r>
          </w:p>
          <w:p>
            <w:pPr>
              <w:pStyle w:val="60"/>
              <w:ind w:firstLine="0" w:firstLineChars="0"/>
              <w:rPr>
                <w:rFonts w:ascii="宋体" w:hAnsi="宋体" w:cs="宋体"/>
                <w:sz w:val="18"/>
                <w:szCs w:val="18"/>
              </w:rPr>
            </w:pPr>
            <w:r>
              <w:rPr>
                <w:rFonts w:hint="eastAsia" w:ascii="宋体" w:hAnsi="宋体" w:cs="宋体"/>
                <w:sz w:val="18"/>
                <w:szCs w:val="18"/>
              </w:rPr>
              <w:t>掌握安全集成准备工作（如需求分析）的主要方法</w:t>
            </w:r>
            <w:r>
              <w:rPr>
                <w:rFonts w:hint="eastAsia" w:ascii="宋体" w:hAnsi="宋体" w:cs="宋体"/>
                <w:sz w:val="18"/>
                <w:szCs w:val="18"/>
              </w:rPr>
              <w:br w:type="textWrapping"/>
            </w:r>
            <w:r>
              <w:rPr>
                <w:rFonts w:hint="eastAsia" w:ascii="宋体" w:hAnsi="宋体" w:cs="宋体"/>
                <w:sz w:val="18"/>
                <w:szCs w:val="18"/>
              </w:rPr>
              <w:t>掌握安全集成设计的主要方法</w:t>
            </w:r>
            <w:r>
              <w:rPr>
                <w:rFonts w:hint="eastAsia" w:ascii="宋体" w:hAnsi="宋体" w:cs="宋体"/>
                <w:sz w:val="18"/>
                <w:szCs w:val="18"/>
              </w:rPr>
              <w:br w:type="textWrapping"/>
            </w:r>
            <w:r>
              <w:rPr>
                <w:rFonts w:hint="eastAsia" w:ascii="宋体" w:hAnsi="宋体" w:cs="宋体"/>
                <w:sz w:val="18"/>
                <w:szCs w:val="18"/>
              </w:rPr>
              <w:t>掌握安全集成实施的主要工作</w:t>
            </w:r>
            <w:r>
              <w:rPr>
                <w:rFonts w:hint="eastAsia" w:ascii="宋体" w:hAnsi="宋体" w:cs="宋体"/>
                <w:sz w:val="18"/>
                <w:szCs w:val="18"/>
              </w:rPr>
              <w:br w:type="textWrapping"/>
            </w:r>
            <w:r>
              <w:rPr>
                <w:rFonts w:hint="eastAsia" w:ascii="宋体" w:hAnsi="宋体" w:cs="宋体"/>
                <w:sz w:val="18"/>
                <w:szCs w:val="18"/>
              </w:rPr>
              <w:t xml:space="preserve">掌握安全集成保证的主要内容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60"/>
              <w:ind w:firstLine="0" w:firstLineChars="0"/>
              <w:jc w:val="center"/>
              <w:rPr>
                <w:rFonts w:ascii="宋体" w:hAnsi="宋体" w:cs="宋体"/>
                <w:sz w:val="18"/>
                <w:szCs w:val="18"/>
              </w:rPr>
            </w:pPr>
            <w:r>
              <w:rPr>
                <w:rFonts w:hint="eastAsia" w:ascii="宋体" w:hAnsi="宋体" w:cs="宋体"/>
                <w:sz w:val="18"/>
                <w:szCs w:val="18"/>
              </w:rPr>
              <w:t>3</w:t>
            </w:r>
          </w:p>
        </w:tc>
        <w:tc>
          <w:tcPr>
            <w:tcW w:w="1892" w:type="dxa"/>
            <w:vAlign w:val="center"/>
          </w:tcPr>
          <w:p>
            <w:pPr>
              <w:pStyle w:val="25"/>
              <w:shd w:val="clear" w:color="auto" w:fill="FFFFFF"/>
              <w:jc w:val="both"/>
              <w:rPr>
                <w:sz w:val="18"/>
                <w:szCs w:val="18"/>
              </w:rPr>
            </w:pPr>
            <w:r>
              <w:rPr>
                <w:rFonts w:hint="eastAsia"/>
                <w:sz w:val="18"/>
                <w:szCs w:val="18"/>
              </w:rPr>
              <w:t>安全集成工具使用</w:t>
            </w:r>
          </w:p>
        </w:tc>
        <w:tc>
          <w:tcPr>
            <w:tcW w:w="6446" w:type="dxa"/>
            <w:vAlign w:val="center"/>
          </w:tcPr>
          <w:p>
            <w:pPr>
              <w:pStyle w:val="25"/>
              <w:shd w:val="clear" w:color="auto" w:fill="FFFFFF"/>
              <w:spacing w:before="0" w:beforeAutospacing="0" w:after="0" w:afterAutospacing="0"/>
              <w:jc w:val="both"/>
              <w:rPr>
                <w:sz w:val="18"/>
                <w:szCs w:val="18"/>
              </w:rPr>
            </w:pPr>
            <w:r>
              <w:rPr>
                <w:rFonts w:hint="eastAsia"/>
                <w:sz w:val="18"/>
                <w:szCs w:val="18"/>
              </w:rPr>
              <w:t>熟悉典型的安全集成工具；</w:t>
            </w:r>
          </w:p>
          <w:p>
            <w:pPr>
              <w:pStyle w:val="25"/>
              <w:shd w:val="clear" w:color="auto" w:fill="FFFFFF"/>
              <w:spacing w:before="0" w:beforeAutospacing="0" w:after="0" w:afterAutospacing="0"/>
              <w:jc w:val="both"/>
              <w:rPr>
                <w:sz w:val="18"/>
                <w:szCs w:val="18"/>
              </w:rPr>
            </w:pPr>
            <w:r>
              <w:rPr>
                <w:rFonts w:hint="eastAsia"/>
                <w:sz w:val="18"/>
                <w:szCs w:val="18"/>
              </w:rPr>
              <w:t>熟悉需求分析工具使用；</w:t>
            </w:r>
          </w:p>
          <w:p>
            <w:pPr>
              <w:pStyle w:val="25"/>
              <w:shd w:val="clear" w:color="auto" w:fill="FFFFFF"/>
              <w:spacing w:before="0" w:beforeAutospacing="0" w:after="0" w:afterAutospacing="0"/>
              <w:jc w:val="both"/>
              <w:rPr>
                <w:sz w:val="18"/>
                <w:szCs w:val="18"/>
              </w:rPr>
            </w:pPr>
            <w:r>
              <w:rPr>
                <w:rFonts w:hint="eastAsia"/>
                <w:sz w:val="18"/>
                <w:szCs w:val="18"/>
              </w:rPr>
              <w:t>熟悉安全集成设计工具使用 ；</w:t>
            </w:r>
          </w:p>
          <w:p>
            <w:pPr>
              <w:pStyle w:val="25"/>
              <w:shd w:val="clear" w:color="auto" w:fill="FFFFFF"/>
              <w:spacing w:before="0" w:beforeAutospacing="0" w:after="0" w:afterAutospacing="0"/>
              <w:jc w:val="both"/>
              <w:rPr>
                <w:sz w:val="18"/>
                <w:szCs w:val="18"/>
              </w:rPr>
            </w:pPr>
            <w:r>
              <w:rPr>
                <w:rFonts w:hint="eastAsia"/>
                <w:sz w:val="18"/>
                <w:szCs w:val="18"/>
              </w:rPr>
              <w:t>熟悉安全保证工具使用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60"/>
              <w:ind w:firstLine="0" w:firstLineChars="0"/>
              <w:jc w:val="center"/>
              <w:rPr>
                <w:rFonts w:ascii="宋体" w:hAnsi="宋体" w:cs="宋体"/>
                <w:sz w:val="18"/>
                <w:szCs w:val="18"/>
              </w:rPr>
            </w:pPr>
            <w:r>
              <w:rPr>
                <w:rFonts w:hint="eastAsia" w:ascii="宋体" w:hAnsi="宋体" w:cs="宋体"/>
                <w:sz w:val="18"/>
                <w:szCs w:val="18"/>
              </w:rPr>
              <w:t>4</w:t>
            </w:r>
          </w:p>
        </w:tc>
        <w:tc>
          <w:tcPr>
            <w:tcW w:w="1892" w:type="dxa"/>
            <w:vAlign w:val="center"/>
          </w:tcPr>
          <w:p>
            <w:pPr>
              <w:pStyle w:val="25"/>
              <w:shd w:val="clear" w:color="auto" w:fill="FFFFFF"/>
              <w:jc w:val="both"/>
              <w:rPr>
                <w:sz w:val="18"/>
                <w:szCs w:val="18"/>
              </w:rPr>
            </w:pPr>
            <w:r>
              <w:rPr>
                <w:rFonts w:hint="eastAsia"/>
                <w:sz w:val="18"/>
                <w:szCs w:val="18"/>
              </w:rPr>
              <w:t>典型安全保障手段</w:t>
            </w:r>
          </w:p>
        </w:tc>
        <w:tc>
          <w:tcPr>
            <w:tcW w:w="6446" w:type="dxa"/>
            <w:vAlign w:val="center"/>
          </w:tcPr>
          <w:p>
            <w:pPr>
              <w:pStyle w:val="25"/>
              <w:shd w:val="clear" w:color="auto" w:fill="FFFFFF"/>
              <w:spacing w:before="0" w:beforeAutospacing="0" w:after="0" w:afterAutospacing="0"/>
              <w:jc w:val="both"/>
              <w:rPr>
                <w:sz w:val="18"/>
                <w:szCs w:val="18"/>
              </w:rPr>
            </w:pPr>
            <w:r>
              <w:rPr>
                <w:rFonts w:hint="eastAsia"/>
                <w:sz w:val="18"/>
                <w:szCs w:val="18"/>
              </w:rPr>
              <w:t xml:space="preserve">熟悉典型的信息安全保障手段 </w:t>
            </w:r>
          </w:p>
          <w:p>
            <w:pPr>
              <w:pStyle w:val="25"/>
              <w:shd w:val="clear" w:color="auto" w:fill="FFFFFF"/>
              <w:spacing w:before="0" w:beforeAutospacing="0" w:after="0" w:afterAutospacing="0"/>
              <w:jc w:val="both"/>
              <w:rPr>
                <w:sz w:val="18"/>
                <w:szCs w:val="18"/>
              </w:rPr>
            </w:pPr>
            <w:r>
              <w:rPr>
                <w:rFonts w:hint="eastAsia"/>
                <w:sz w:val="18"/>
                <w:szCs w:val="18"/>
              </w:rPr>
              <w:t xml:space="preserve">熟悉常用的信息安全技术应用 </w:t>
            </w:r>
          </w:p>
          <w:p>
            <w:pPr>
              <w:pStyle w:val="25"/>
              <w:shd w:val="clear" w:color="auto" w:fill="FFFFFF"/>
              <w:spacing w:before="0" w:beforeAutospacing="0" w:after="0" w:afterAutospacing="0"/>
              <w:jc w:val="both"/>
              <w:rPr>
                <w:sz w:val="18"/>
                <w:szCs w:val="18"/>
              </w:rPr>
            </w:pPr>
            <w:r>
              <w:rPr>
                <w:rFonts w:hint="eastAsia"/>
                <w:sz w:val="18"/>
                <w:szCs w:val="18"/>
              </w:rPr>
              <w:t xml:space="preserve">熟悉常用的信息安全产品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60"/>
              <w:ind w:firstLine="0" w:firstLineChars="0"/>
              <w:jc w:val="center"/>
              <w:rPr>
                <w:rFonts w:ascii="宋体" w:hAnsi="宋体" w:cs="宋体"/>
                <w:sz w:val="18"/>
                <w:szCs w:val="18"/>
              </w:rPr>
            </w:pPr>
            <w:r>
              <w:rPr>
                <w:rFonts w:hint="eastAsia" w:ascii="宋体" w:hAnsi="宋体" w:cs="宋体"/>
                <w:sz w:val="18"/>
                <w:szCs w:val="18"/>
              </w:rPr>
              <w:t>5</w:t>
            </w:r>
          </w:p>
        </w:tc>
        <w:tc>
          <w:tcPr>
            <w:tcW w:w="1892" w:type="dxa"/>
            <w:vAlign w:val="center"/>
          </w:tcPr>
          <w:p>
            <w:pPr>
              <w:pStyle w:val="25"/>
              <w:shd w:val="clear" w:color="auto" w:fill="FFFFFF"/>
              <w:adjustRightInd w:val="0"/>
              <w:snapToGrid w:val="0"/>
              <w:spacing w:before="0" w:beforeAutospacing="0" w:after="0" w:afterAutospacing="0"/>
              <w:jc w:val="both"/>
              <w:rPr>
                <w:sz w:val="18"/>
                <w:szCs w:val="18"/>
              </w:rPr>
            </w:pPr>
            <w:r>
              <w:rPr>
                <w:rFonts w:hint="eastAsia"/>
                <w:sz w:val="18"/>
                <w:szCs w:val="18"/>
              </w:rPr>
              <w:t xml:space="preserve">安全集成实例 </w:t>
            </w:r>
          </w:p>
        </w:tc>
        <w:tc>
          <w:tcPr>
            <w:tcW w:w="6446" w:type="dxa"/>
            <w:vAlign w:val="center"/>
          </w:tcPr>
          <w:p>
            <w:pPr>
              <w:pStyle w:val="25"/>
              <w:shd w:val="clear" w:color="auto" w:fill="FFFFFF"/>
              <w:spacing w:before="0" w:beforeAutospacing="0" w:after="0" w:afterAutospacing="0"/>
              <w:jc w:val="both"/>
              <w:rPr>
                <w:sz w:val="18"/>
                <w:szCs w:val="18"/>
              </w:rPr>
            </w:pPr>
            <w:r>
              <w:rPr>
                <w:rFonts w:hint="eastAsia"/>
                <w:sz w:val="18"/>
                <w:szCs w:val="18"/>
              </w:rPr>
              <w:t xml:space="preserve">熟悉安全集成方案的结构 </w:t>
            </w:r>
          </w:p>
          <w:p>
            <w:pPr>
              <w:pStyle w:val="25"/>
              <w:shd w:val="clear" w:color="auto" w:fill="FFFFFF"/>
              <w:spacing w:before="0" w:beforeAutospacing="0" w:after="0" w:afterAutospacing="0"/>
              <w:jc w:val="both"/>
              <w:rPr>
                <w:sz w:val="18"/>
                <w:szCs w:val="18"/>
              </w:rPr>
            </w:pPr>
            <w:r>
              <w:rPr>
                <w:rFonts w:hint="eastAsia"/>
                <w:sz w:val="18"/>
                <w:szCs w:val="18"/>
              </w:rPr>
              <w:t xml:space="preserve">熟悉主要行业的安全集成特性 </w:t>
            </w:r>
          </w:p>
          <w:p>
            <w:pPr>
              <w:pStyle w:val="25"/>
              <w:shd w:val="clear" w:color="auto" w:fill="FFFFFF"/>
              <w:spacing w:before="0" w:beforeAutospacing="0" w:after="0" w:afterAutospacing="0"/>
              <w:jc w:val="both"/>
              <w:rPr>
                <w:sz w:val="18"/>
                <w:szCs w:val="18"/>
              </w:rPr>
            </w:pPr>
            <w:r>
              <w:rPr>
                <w:rFonts w:hint="eastAsia"/>
                <w:sz w:val="18"/>
                <w:szCs w:val="18"/>
              </w:rPr>
              <w:t xml:space="preserve">理解 1-2 个行业的典型安全集成实例 </w:t>
            </w:r>
          </w:p>
        </w:tc>
      </w:tr>
    </w:tbl>
    <w:p>
      <w:pPr>
        <w:pStyle w:val="60"/>
        <w:ind w:left="380" w:firstLine="0" w:firstLineChars="0"/>
        <w:rPr>
          <w:rFonts w:ascii="宋体" w:hAnsi="宋体"/>
        </w:rPr>
      </w:pPr>
    </w:p>
    <w:p>
      <w:r>
        <w:br w:type="page"/>
      </w:r>
    </w:p>
    <w:p>
      <w:pPr>
        <w:adjustRightInd w:val="0"/>
        <w:snapToGrid w:val="0"/>
        <w:spacing w:line="360" w:lineRule="auto"/>
        <w:jc w:val="center"/>
        <w:outlineLvl w:val="0"/>
        <w:rPr>
          <w:rFonts w:ascii="黑体" w:hAnsi="黑体" w:eastAsia="黑体" w:cs="黑体"/>
          <w:color w:val="000000" w:themeColor="text1"/>
          <w:szCs w:val="21"/>
          <w14:textFill>
            <w14:solidFill>
              <w14:schemeClr w14:val="tx1"/>
            </w14:solidFill>
          </w14:textFill>
        </w:rPr>
      </w:pPr>
      <w:bookmarkStart w:id="91" w:name="_Toc880"/>
      <w:r>
        <w:rPr>
          <w:rFonts w:hint="eastAsia" w:ascii="黑体" w:hAnsi="黑体" w:eastAsia="黑体" w:cs="黑体"/>
          <w:color w:val="000000" w:themeColor="text1"/>
          <w:szCs w:val="21"/>
          <w14:textFill>
            <w14:solidFill>
              <w14:schemeClr w14:val="tx1"/>
            </w14:solidFill>
          </w14:textFill>
        </w:rPr>
        <w:t>附 录</w:t>
      </w:r>
      <w:bookmarkStart w:id="92" w:name="_Toc6338"/>
      <w:r>
        <w:rPr>
          <w:rFonts w:hint="eastAsia" w:ascii="黑体" w:hAnsi="黑体" w:eastAsia="黑体" w:cs="黑体"/>
          <w:color w:val="000000" w:themeColor="text1"/>
          <w:szCs w:val="21"/>
          <w14:textFill>
            <w14:solidFill>
              <w14:schemeClr w14:val="tx1"/>
            </w14:solidFill>
          </w14:textFill>
        </w:rPr>
        <w:t>E</w:t>
      </w:r>
      <w:bookmarkEnd w:id="91"/>
    </w:p>
    <w:p>
      <w:pPr>
        <w:adjustRightInd w:val="0"/>
        <w:snapToGrid w:val="0"/>
        <w:spacing w:line="360" w:lineRule="auto"/>
        <w:jc w:val="center"/>
        <w:outlineLvl w:val="0"/>
        <w:rPr>
          <w:rFonts w:ascii="黑体" w:hAnsi="黑体" w:eastAsia="黑体" w:cs="黑体"/>
          <w:color w:val="000000" w:themeColor="text1"/>
          <w:szCs w:val="21"/>
          <w14:textFill>
            <w14:solidFill>
              <w14:schemeClr w14:val="tx1"/>
            </w14:solidFill>
          </w14:textFill>
        </w:rPr>
      </w:pPr>
      <w:bookmarkStart w:id="93" w:name="_Toc20443"/>
      <w:bookmarkStart w:id="94" w:name="_Toc29064"/>
      <w:r>
        <w:rPr>
          <w:rFonts w:hint="eastAsia" w:ascii="黑体" w:hAnsi="黑体" w:eastAsia="黑体" w:cs="黑体"/>
          <w:color w:val="000000" w:themeColor="text1"/>
          <w:szCs w:val="21"/>
          <w14:textFill>
            <w14:solidFill>
              <w14:schemeClr w14:val="tx1"/>
            </w14:solidFill>
          </w14:textFill>
        </w:rPr>
        <w:t>（规范性）</w:t>
      </w:r>
      <w:bookmarkEnd w:id="92"/>
      <w:bookmarkEnd w:id="93"/>
      <w:bookmarkEnd w:id="94"/>
    </w:p>
    <w:p>
      <w:pPr>
        <w:adjustRightInd w:val="0"/>
        <w:snapToGrid w:val="0"/>
        <w:spacing w:after="283" w:line="360" w:lineRule="auto"/>
        <w:jc w:val="center"/>
        <w:outlineLvl w:val="0"/>
        <w:rPr>
          <w:rFonts w:ascii="黑体" w:hAnsi="黑体" w:eastAsia="黑体" w:cs="黑体"/>
          <w:color w:val="000000" w:themeColor="text1"/>
          <w:szCs w:val="21"/>
          <w14:textFill>
            <w14:solidFill>
              <w14:schemeClr w14:val="tx1"/>
            </w14:solidFill>
          </w14:textFill>
        </w:rPr>
      </w:pPr>
      <w:bookmarkStart w:id="95" w:name="_Toc11026"/>
      <w:bookmarkStart w:id="96" w:name="_Toc20828"/>
      <w:bookmarkStart w:id="97" w:name="_Toc4600"/>
      <w:r>
        <w:rPr>
          <w:rFonts w:hint="eastAsia" w:ascii="黑体" w:hAnsi="黑体" w:eastAsia="黑体" w:cs="黑体"/>
          <w:color w:val="000000" w:themeColor="text1"/>
          <w:szCs w:val="21"/>
          <w14:textFill>
            <w14:solidFill>
              <w14:schemeClr w14:val="tx1"/>
            </w14:solidFill>
          </w14:textFill>
        </w:rPr>
        <w:t>信息系统安全运维人员考试大纲</w:t>
      </w:r>
      <w:bookmarkEnd w:id="95"/>
      <w:bookmarkEnd w:id="96"/>
      <w:bookmarkEnd w:id="97"/>
    </w:p>
    <w:p>
      <w:pPr>
        <w:pStyle w:val="36"/>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E.1目的</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为使考生达到本认证规范中网络空间安全专业人员信息系统安全运维方向二级、三级能力要求，指导考生有效准备考试，特制定本考试大纲。</w:t>
      </w:r>
    </w:p>
    <w:p>
      <w:pPr>
        <w:pStyle w:val="36"/>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E.2 考试内容</w:t>
      </w:r>
    </w:p>
    <w:p>
      <w:pPr>
        <w:pStyle w:val="36"/>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E.2 .1专业课程要求</w:t>
      </w:r>
    </w:p>
    <w:p>
      <w:pPr>
        <w:pStyle w:val="36"/>
        <w:ind w:firstLine="0" w:firstLineChars="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表</w:t>
      </w:r>
      <w:r>
        <w:rPr>
          <w:rFonts w:hint="eastAsia" w:ascii="黑体" w:hAnsi="黑体" w:eastAsia="黑体" w:cs="黑体"/>
          <w:color w:val="000000" w:themeColor="text1"/>
          <w14:textFill>
            <w14:solidFill>
              <w14:schemeClr w14:val="tx1"/>
            </w14:solidFill>
          </w14:textFill>
        </w:rPr>
        <w:t>E.</w:t>
      </w:r>
      <w:r>
        <w:rPr>
          <w:rFonts w:hint="eastAsia" w:asciiTheme="minorEastAsia" w:hAnsiTheme="minorEastAsia" w:eastAsiaTheme="minorEastAsia"/>
          <w:color w:val="000000" w:themeColor="text1"/>
          <w14:textFill>
            <w14:solidFill>
              <w14:schemeClr w14:val="tx1"/>
            </w14:solidFill>
          </w14:textFill>
        </w:rPr>
        <w:t>1 课程要求</w:t>
      </w:r>
    </w:p>
    <w:tbl>
      <w:tblPr>
        <w:tblStyle w:val="28"/>
        <w:tblW w:w="8971"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357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3" w:type="dxa"/>
            <w:vAlign w:val="center"/>
          </w:tcPr>
          <w:p>
            <w:pPr>
              <w:pStyle w:val="36"/>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课程名称</w:t>
            </w:r>
          </w:p>
        </w:tc>
        <w:tc>
          <w:tcPr>
            <w:tcW w:w="3570" w:type="dxa"/>
            <w:vAlign w:val="center"/>
          </w:tcPr>
          <w:p>
            <w:pPr>
              <w:pStyle w:val="36"/>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课程类型</w:t>
            </w:r>
          </w:p>
        </w:tc>
        <w:tc>
          <w:tcPr>
            <w:tcW w:w="2268" w:type="dxa"/>
            <w:vAlign w:val="center"/>
          </w:tcPr>
          <w:p>
            <w:pPr>
              <w:pStyle w:val="36"/>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3"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信息安全技术</w:t>
            </w:r>
          </w:p>
        </w:tc>
        <w:tc>
          <w:tcPr>
            <w:tcW w:w="3570"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kern w:val="0"/>
                <w:sz w:val="18"/>
                <w:szCs w:val="18"/>
              </w:rPr>
              <w:t>专业</w:t>
            </w:r>
            <w:r>
              <w:rPr>
                <w:rFonts w:hint="eastAsia" w:ascii="宋体" w:hAnsi="宋体" w:cs="宋体"/>
                <w:color w:val="000000" w:themeColor="text1"/>
                <w:kern w:val="0"/>
                <w:sz w:val="18"/>
                <w:szCs w:val="18"/>
                <w14:textFill>
                  <w14:solidFill>
                    <w14:schemeClr w14:val="tx1"/>
                  </w14:solidFill>
                </w14:textFill>
              </w:rPr>
              <w:t>课程</w:t>
            </w:r>
          </w:p>
        </w:tc>
        <w:tc>
          <w:tcPr>
            <w:tcW w:w="226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133"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信息系统安全运维</w:t>
            </w:r>
          </w:p>
        </w:tc>
        <w:tc>
          <w:tcPr>
            <w:tcW w:w="3570"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专业课程</w:t>
            </w:r>
          </w:p>
        </w:tc>
        <w:tc>
          <w:tcPr>
            <w:tcW w:w="226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133"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网络安全等保2.0技术产品</w:t>
            </w:r>
          </w:p>
        </w:tc>
        <w:tc>
          <w:tcPr>
            <w:tcW w:w="3570"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基础课程</w:t>
            </w:r>
          </w:p>
        </w:tc>
        <w:tc>
          <w:tcPr>
            <w:tcW w:w="226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133"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渗透测试与攻防实战</w:t>
            </w:r>
          </w:p>
        </w:tc>
        <w:tc>
          <w:tcPr>
            <w:tcW w:w="3570"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专业课程</w:t>
            </w:r>
          </w:p>
        </w:tc>
        <w:tc>
          <w:tcPr>
            <w:tcW w:w="226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全部</w:t>
            </w:r>
          </w:p>
        </w:tc>
      </w:tr>
    </w:tbl>
    <w:p>
      <w:pPr>
        <w:pStyle w:val="36"/>
        <w:spacing w:before="158" w:beforeLines="50"/>
        <w:ind w:firstLine="0" w:firstLineChars="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E.</w:t>
      </w:r>
      <w:r>
        <w:rPr>
          <w:rFonts w:hint="eastAsia" w:asciiTheme="minorEastAsia" w:hAnsiTheme="minorEastAsia" w:eastAsiaTheme="minorEastAsia"/>
          <w:color w:val="000000" w:themeColor="text1"/>
          <w14:textFill>
            <w14:solidFill>
              <w14:schemeClr w14:val="tx1"/>
            </w14:solidFill>
          </w14:textFill>
        </w:rPr>
        <w:t>3 各课程知识点要求</w:t>
      </w:r>
    </w:p>
    <w:p>
      <w:pPr>
        <w:adjustRightInd w:val="0"/>
        <w:snapToGrid w:val="0"/>
        <w:spacing w:after="158" w:afterLines="50"/>
        <w:jc w:val="left"/>
        <w:rPr>
          <w:rFonts w:ascii="黑体" w:hAnsi="黑体" w:eastAsia="黑体" w:cs="黑体"/>
          <w:shd w:val="clear" w:color="auto" w:fill="F5F6EE"/>
        </w:rPr>
      </w:pPr>
      <w:r>
        <w:rPr>
          <w:rFonts w:hint="eastAsia" w:ascii="黑体" w:hAnsi="黑体" w:eastAsia="黑体" w:cs="黑体"/>
        </w:rPr>
        <w:t>E.3.1 信息安全技术课程内容与要求</w:t>
      </w:r>
    </w:p>
    <w:p>
      <w:pPr>
        <w:adjustRightInd w:val="0"/>
        <w:snapToGrid w:val="0"/>
        <w:spacing w:after="158" w:afterLines="50"/>
        <w:ind w:firstLine="315" w:firstLineChars="150"/>
        <w:jc w:val="center"/>
        <w:rPr>
          <w:rFonts w:ascii="黑体" w:hAnsi="黑体" w:eastAsia="黑体" w:cs="黑体"/>
          <w:shd w:val="clear" w:color="auto" w:fill="F5F6EE"/>
        </w:rPr>
      </w:pPr>
      <w:r>
        <w:rPr>
          <w:rFonts w:hint="eastAsia" w:ascii="黑体" w:hAnsi="黑体" w:eastAsia="黑体" w:cs="黑体"/>
        </w:rPr>
        <w:t>表E.2 信息安全技术课程内容与要求</w:t>
      </w:r>
    </w:p>
    <w:tbl>
      <w:tblPr>
        <w:tblStyle w:val="28"/>
        <w:tblW w:w="8971"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76"/>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tcPr>
          <w:p>
            <w:pPr>
              <w:pStyle w:val="36"/>
              <w:ind w:firstLine="0" w:firstLineChars="0"/>
              <w:jc w:val="center"/>
              <w:rPr>
                <w:rFonts w:cs="微软雅黑" w:asciiTheme="minorEastAsia" w:hAnsiTheme="minorEastAsia" w:eastAsiaTheme="minorEastAsia"/>
                <w:shd w:val="clear" w:color="auto" w:fill="FFFFFF"/>
              </w:rPr>
            </w:pPr>
            <w:r>
              <w:rPr>
                <w:rFonts w:hint="eastAsia" w:cs="微软雅黑" w:asciiTheme="minorEastAsia" w:hAnsiTheme="minorEastAsia" w:eastAsiaTheme="minorEastAsia"/>
                <w:shd w:val="clear" w:color="auto" w:fill="FFFFFF"/>
              </w:rPr>
              <w:t>章节号</w:t>
            </w:r>
          </w:p>
        </w:tc>
        <w:tc>
          <w:tcPr>
            <w:tcW w:w="1876" w:type="dxa"/>
          </w:tcPr>
          <w:p>
            <w:pPr>
              <w:pStyle w:val="36"/>
              <w:ind w:firstLine="0" w:firstLineChars="0"/>
              <w:jc w:val="center"/>
              <w:rPr>
                <w:rFonts w:cs="微软雅黑" w:asciiTheme="minorEastAsia" w:hAnsiTheme="minorEastAsia" w:eastAsiaTheme="minorEastAsia"/>
                <w:shd w:val="clear" w:color="auto" w:fill="FFFFFF"/>
              </w:rPr>
            </w:pPr>
            <w:r>
              <w:rPr>
                <w:rFonts w:hint="eastAsia" w:cs="微软雅黑" w:asciiTheme="minorEastAsia" w:hAnsiTheme="minorEastAsia" w:eastAsiaTheme="minorEastAsia"/>
                <w:shd w:val="clear" w:color="auto" w:fill="FFFFFF"/>
              </w:rPr>
              <w:t>章节名</w:t>
            </w:r>
          </w:p>
        </w:tc>
        <w:tc>
          <w:tcPr>
            <w:tcW w:w="6204" w:type="dxa"/>
          </w:tcPr>
          <w:p>
            <w:pPr>
              <w:pStyle w:val="36"/>
              <w:ind w:firstLine="0" w:firstLineChars="0"/>
              <w:jc w:val="center"/>
              <w:rPr>
                <w:rFonts w:cs="微软雅黑" w:asciiTheme="minorEastAsia" w:hAnsiTheme="minorEastAsia" w:eastAsiaTheme="minorEastAsia"/>
                <w:shd w:val="clear" w:color="auto" w:fill="FFFFFF"/>
              </w:rPr>
            </w:pPr>
            <w:r>
              <w:rPr>
                <w:rFonts w:hint="eastAsia" w:cs="微软雅黑" w:asciiTheme="minorEastAsia" w:hAnsiTheme="minorEastAsia" w:eastAsiaTheme="minorEastAsia"/>
                <w:shd w:val="clear" w:color="auto" w:fill="FFFFFF"/>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87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信息安全概论</w:t>
            </w:r>
          </w:p>
        </w:tc>
        <w:tc>
          <w:tcPr>
            <w:tcW w:w="6204"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介绍了信息安全的基本概念、原理和知识体系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87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物理安全</w:t>
            </w:r>
          </w:p>
        </w:tc>
        <w:tc>
          <w:tcPr>
            <w:tcW w:w="6204"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包括物理安全概述、物理安全相关的法律、法规等内容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187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通讯和网络安全工程</w:t>
            </w:r>
          </w:p>
        </w:tc>
        <w:tc>
          <w:tcPr>
            <w:tcW w:w="6204"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包括网络结构安全分析技术及其他的安全服务和安全机制策略等。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187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密码学及其应用</w:t>
            </w:r>
          </w:p>
        </w:tc>
        <w:tc>
          <w:tcPr>
            <w:tcW w:w="6204"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包括密码学基础知识、对称加密算法、非对称加密算法、散列算法及其应用、数字签名、PKI技术、SSL、SSH、IPSec、PGP加密文件系统等。</w:t>
            </w:r>
          </w:p>
        </w:tc>
      </w:tr>
    </w:tbl>
    <w:p>
      <w:pPr>
        <w:pStyle w:val="36"/>
        <w:spacing w:before="317" w:beforeLines="100" w:after="158" w:afterLines="50"/>
        <w:ind w:left="378" w:hanging="378" w:hangingChars="180"/>
        <w:rPr>
          <w:rFonts w:ascii="黑体" w:hAnsi="黑体" w:eastAsia="黑体" w:cs="黑体"/>
        </w:rPr>
      </w:pPr>
      <w:r>
        <w:rPr>
          <w:rFonts w:hint="eastAsia" w:ascii="黑体" w:hAnsi="黑体" w:eastAsia="黑体" w:cs="黑体"/>
        </w:rPr>
        <w:t>E.3.2 信息系统安全运维</w:t>
      </w:r>
    </w:p>
    <w:p>
      <w:pPr>
        <w:pStyle w:val="60"/>
        <w:spacing w:after="158" w:afterLines="50"/>
        <w:ind w:left="378" w:hanging="378" w:hangingChars="180"/>
        <w:jc w:val="center"/>
        <w:outlineLvl w:val="0"/>
        <w:rPr>
          <w:rFonts w:ascii="黑体" w:hAnsi="黑体" w:eastAsia="黑体" w:cs="黑体"/>
          <w:color w:val="000000"/>
        </w:rPr>
      </w:pPr>
      <w:bookmarkStart w:id="98" w:name="_Toc11890"/>
      <w:r>
        <w:rPr>
          <w:rFonts w:hint="eastAsia" w:ascii="黑体" w:hAnsi="黑体" w:eastAsia="黑体" w:cs="黑体"/>
          <w:color w:val="000000"/>
        </w:rPr>
        <w:t>表E.3</w:t>
      </w:r>
      <w:bookmarkEnd w:id="98"/>
      <w:r>
        <w:rPr>
          <w:rFonts w:hint="eastAsia" w:ascii="黑体" w:hAnsi="黑体" w:eastAsia="黑体" w:cs="黑体"/>
          <w:color w:val="000000"/>
        </w:rPr>
        <w:t xml:space="preserve"> </w:t>
      </w:r>
    </w:p>
    <w:tbl>
      <w:tblPr>
        <w:tblStyle w:val="28"/>
        <w:tblW w:w="9043"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07"/>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975" w:type="dxa"/>
            <w:vAlign w:val="center"/>
          </w:tcPr>
          <w:p>
            <w:pPr>
              <w:pStyle w:val="60"/>
              <w:spacing w:line="288" w:lineRule="auto"/>
              <w:ind w:firstLine="0" w:firstLineChars="0"/>
              <w:jc w:val="center"/>
              <w:rPr>
                <w:rFonts w:ascii="黑体" w:hAnsi="黑体" w:eastAsia="黑体" w:cs="黑体"/>
                <w:color w:val="000000"/>
                <w:kern w:val="0"/>
                <w:sz w:val="20"/>
              </w:rPr>
            </w:pPr>
            <w:r>
              <w:rPr>
                <w:rFonts w:hint="eastAsia" w:ascii="黑体" w:hAnsi="黑体" w:eastAsia="黑体" w:cs="黑体"/>
                <w:color w:val="000000"/>
                <w:kern w:val="0"/>
                <w:sz w:val="20"/>
              </w:rPr>
              <w:t>章节号</w:t>
            </w:r>
          </w:p>
        </w:tc>
        <w:tc>
          <w:tcPr>
            <w:tcW w:w="1607" w:type="dxa"/>
            <w:vAlign w:val="center"/>
          </w:tcPr>
          <w:p>
            <w:pPr>
              <w:pStyle w:val="60"/>
              <w:spacing w:line="288" w:lineRule="auto"/>
              <w:ind w:firstLine="0" w:firstLineChars="0"/>
              <w:jc w:val="center"/>
              <w:rPr>
                <w:rFonts w:ascii="黑体" w:hAnsi="黑体" w:eastAsia="黑体" w:cs="黑体"/>
                <w:color w:val="000000"/>
                <w:kern w:val="0"/>
                <w:sz w:val="20"/>
              </w:rPr>
            </w:pPr>
            <w:r>
              <w:rPr>
                <w:rFonts w:hint="eastAsia" w:ascii="黑体" w:hAnsi="黑体" w:eastAsia="黑体" w:cs="黑体"/>
                <w:color w:val="000000"/>
                <w:kern w:val="0"/>
                <w:sz w:val="20"/>
              </w:rPr>
              <w:t>章节名</w:t>
            </w:r>
          </w:p>
        </w:tc>
        <w:tc>
          <w:tcPr>
            <w:tcW w:w="6461" w:type="dxa"/>
            <w:vAlign w:val="center"/>
          </w:tcPr>
          <w:p>
            <w:pPr>
              <w:pStyle w:val="60"/>
              <w:spacing w:line="288" w:lineRule="auto"/>
              <w:ind w:firstLine="0" w:firstLineChars="0"/>
              <w:jc w:val="center"/>
              <w:rPr>
                <w:rFonts w:ascii="黑体" w:hAnsi="黑体" w:eastAsia="黑体" w:cs="黑体"/>
                <w:color w:val="000000"/>
                <w:kern w:val="0"/>
                <w:sz w:val="20"/>
              </w:rPr>
            </w:pPr>
            <w:r>
              <w:rPr>
                <w:rFonts w:hint="eastAsia" w:ascii="黑体" w:hAnsi="黑体" w:eastAsia="黑体" w:cs="黑体"/>
                <w:color w:val="000000"/>
                <w:kern w:val="0"/>
                <w:sz w:val="2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75" w:type="dxa"/>
            <w:vAlign w:val="center"/>
          </w:tcPr>
          <w:p>
            <w:pPr>
              <w:pStyle w:val="60"/>
              <w:spacing w:line="288" w:lineRule="auto"/>
              <w:ind w:firstLine="0" w:firstLineChars="0"/>
              <w:jc w:val="center"/>
              <w:rPr>
                <w:rFonts w:ascii="黑体" w:hAnsi="黑体" w:eastAsia="黑体" w:cs="黑体"/>
                <w:kern w:val="0"/>
                <w:sz w:val="18"/>
                <w:szCs w:val="18"/>
              </w:rPr>
            </w:pPr>
            <w:r>
              <w:rPr>
                <w:rFonts w:hint="eastAsia" w:ascii="黑体" w:hAnsi="黑体" w:eastAsia="黑体" w:cs="黑体"/>
                <w:kern w:val="0"/>
                <w:sz w:val="18"/>
                <w:szCs w:val="18"/>
              </w:rPr>
              <w:t>1</w:t>
            </w:r>
          </w:p>
        </w:tc>
        <w:tc>
          <w:tcPr>
            <w:tcW w:w="1607" w:type="dxa"/>
            <w:vAlign w:val="center"/>
          </w:tcPr>
          <w:p>
            <w:pPr>
              <w:pStyle w:val="60"/>
              <w:spacing w:line="288" w:lineRule="auto"/>
              <w:ind w:firstLine="0" w:firstLineChars="0"/>
              <w:rPr>
                <w:rFonts w:ascii="宋体" w:hAnsi="宋体" w:cs="宋体"/>
                <w:kern w:val="0"/>
                <w:sz w:val="18"/>
                <w:szCs w:val="18"/>
              </w:rPr>
            </w:pPr>
            <w:r>
              <w:rPr>
                <w:rFonts w:ascii="宋体" w:hAnsi="宋体" w:cs="宋体"/>
                <w:kern w:val="0"/>
                <w:sz w:val="18"/>
                <w:szCs w:val="18"/>
              </w:rPr>
              <w:t xml:space="preserve">业界标准与实践 </w:t>
            </w:r>
          </w:p>
        </w:tc>
        <w:tc>
          <w:tcPr>
            <w:tcW w:w="6461" w:type="dxa"/>
            <w:vAlign w:val="center"/>
          </w:tcPr>
          <w:p>
            <w:pPr>
              <w:pStyle w:val="60"/>
              <w:spacing w:line="288" w:lineRule="auto"/>
              <w:ind w:firstLine="0" w:firstLineChars="0"/>
              <w:rPr>
                <w:rFonts w:ascii="宋体" w:hAnsi="宋体" w:cs="宋体"/>
                <w:kern w:val="0"/>
                <w:sz w:val="18"/>
                <w:szCs w:val="18"/>
              </w:rPr>
            </w:pPr>
            <w:r>
              <w:rPr>
                <w:rFonts w:ascii="宋体" w:hAnsi="宋体" w:cs="宋体"/>
                <w:kern w:val="0"/>
                <w:sz w:val="18"/>
                <w:szCs w:val="18"/>
              </w:rPr>
              <w:t xml:space="preserve">1. 理解信息安全管理体系对安全软件的要求 </w:t>
            </w:r>
          </w:p>
          <w:p>
            <w:pPr>
              <w:pStyle w:val="60"/>
              <w:spacing w:line="288" w:lineRule="auto"/>
              <w:ind w:firstLine="0" w:firstLineChars="0"/>
              <w:rPr>
                <w:rFonts w:ascii="宋体" w:hAnsi="宋体" w:cs="宋体"/>
                <w:kern w:val="0"/>
                <w:sz w:val="18"/>
                <w:szCs w:val="18"/>
              </w:rPr>
            </w:pPr>
            <w:r>
              <w:rPr>
                <w:rFonts w:ascii="宋体" w:hAnsi="宋体" w:cs="宋体"/>
                <w:kern w:val="0"/>
                <w:sz w:val="18"/>
                <w:szCs w:val="18"/>
              </w:rPr>
              <w:t>2. 理解服务管理体系对安全运维的要求</w:t>
            </w:r>
            <w:r>
              <w:rPr>
                <w:rFonts w:ascii="宋体" w:hAnsi="宋体" w:cs="宋体"/>
                <w:kern w:val="0"/>
                <w:sz w:val="18"/>
                <w:szCs w:val="18"/>
              </w:rPr>
              <w:br w:type="textWrapping"/>
            </w:r>
            <w:r>
              <w:rPr>
                <w:rFonts w:ascii="宋体" w:hAnsi="宋体" w:cs="宋体"/>
                <w:kern w:val="0"/>
                <w:sz w:val="18"/>
                <w:szCs w:val="18"/>
              </w:rPr>
              <w:t xml:space="preserve">3. 理解安全弱点管理相关规范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75" w:type="dxa"/>
            <w:vAlign w:val="center"/>
          </w:tcPr>
          <w:p>
            <w:pPr>
              <w:pStyle w:val="60"/>
              <w:spacing w:line="288" w:lineRule="auto"/>
              <w:ind w:firstLine="0" w:firstLineChars="0"/>
              <w:jc w:val="center"/>
              <w:rPr>
                <w:rFonts w:ascii="黑体" w:hAnsi="黑体" w:eastAsia="黑体" w:cs="黑体"/>
                <w:kern w:val="0"/>
                <w:sz w:val="18"/>
                <w:szCs w:val="18"/>
              </w:rPr>
            </w:pPr>
            <w:r>
              <w:rPr>
                <w:rFonts w:hint="eastAsia" w:ascii="黑体" w:hAnsi="黑体" w:eastAsia="黑体" w:cs="黑体"/>
                <w:kern w:val="0"/>
                <w:sz w:val="18"/>
                <w:szCs w:val="18"/>
              </w:rPr>
              <w:t>2</w:t>
            </w:r>
          </w:p>
        </w:tc>
        <w:tc>
          <w:tcPr>
            <w:tcW w:w="1607"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安全运维机构与思想</w:t>
            </w:r>
          </w:p>
        </w:tc>
        <w:tc>
          <w:tcPr>
            <w:tcW w:w="6461"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理解安全运维的核心思想</w:t>
            </w:r>
          </w:p>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理解安全运维管理的关系结构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975" w:type="dxa"/>
            <w:vAlign w:val="center"/>
          </w:tcPr>
          <w:p>
            <w:pPr>
              <w:pStyle w:val="60"/>
              <w:spacing w:line="288" w:lineRule="auto"/>
              <w:ind w:firstLine="0" w:firstLineChars="0"/>
              <w:jc w:val="center"/>
              <w:rPr>
                <w:rFonts w:ascii="黑体" w:hAnsi="黑体" w:eastAsia="黑体" w:cs="黑体"/>
                <w:kern w:val="0"/>
                <w:sz w:val="18"/>
                <w:szCs w:val="18"/>
              </w:rPr>
            </w:pPr>
            <w:r>
              <w:rPr>
                <w:rFonts w:hint="eastAsia" w:ascii="黑体" w:hAnsi="黑体" w:eastAsia="黑体" w:cs="黑体"/>
                <w:kern w:val="0"/>
                <w:sz w:val="18"/>
                <w:szCs w:val="18"/>
              </w:rPr>
              <w:t>3</w:t>
            </w:r>
          </w:p>
        </w:tc>
        <w:tc>
          <w:tcPr>
            <w:tcW w:w="1607"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安全运维工具使用</w:t>
            </w:r>
          </w:p>
        </w:tc>
        <w:tc>
          <w:tcPr>
            <w:tcW w:w="6461"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熟悉典型的安全运维工具</w:t>
            </w:r>
          </w:p>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熟悉典型的安全运维手段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975" w:type="dxa"/>
            <w:vAlign w:val="center"/>
          </w:tcPr>
          <w:p>
            <w:pPr>
              <w:pStyle w:val="60"/>
              <w:spacing w:line="288" w:lineRule="auto"/>
              <w:ind w:firstLine="0" w:firstLineChars="0"/>
              <w:jc w:val="center"/>
              <w:rPr>
                <w:rFonts w:ascii="黑体" w:hAnsi="黑体" w:eastAsia="黑体" w:cs="黑体"/>
                <w:kern w:val="0"/>
                <w:sz w:val="18"/>
                <w:szCs w:val="18"/>
              </w:rPr>
            </w:pPr>
            <w:r>
              <w:rPr>
                <w:rFonts w:ascii="黑体" w:hAnsi="黑体" w:eastAsia="黑体" w:cs="黑体"/>
                <w:kern w:val="0"/>
                <w:sz w:val="18"/>
                <w:szCs w:val="18"/>
              </w:rPr>
              <w:t>4</w:t>
            </w:r>
          </w:p>
        </w:tc>
        <w:tc>
          <w:tcPr>
            <w:tcW w:w="1607"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安全运维实例</w:t>
            </w:r>
          </w:p>
        </w:tc>
        <w:tc>
          <w:tcPr>
            <w:tcW w:w="6461"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熟悉主要行业的安全运维特性</w:t>
            </w:r>
          </w:p>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熟悉1</w:t>
            </w:r>
            <w:r>
              <w:rPr>
                <w:rFonts w:ascii="宋体" w:hAnsi="宋体" w:cs="宋体"/>
                <w:kern w:val="0"/>
                <w:sz w:val="18"/>
                <w:szCs w:val="18"/>
              </w:rPr>
              <w:t>-2</w:t>
            </w:r>
            <w:r>
              <w:rPr>
                <w:rFonts w:hint="eastAsia" w:ascii="宋体" w:hAnsi="宋体" w:cs="宋体"/>
                <w:kern w:val="0"/>
                <w:sz w:val="18"/>
                <w:szCs w:val="18"/>
              </w:rPr>
              <w:t>个行业的典型安全运维实例</w:t>
            </w:r>
          </w:p>
        </w:tc>
      </w:tr>
    </w:tbl>
    <w:p>
      <w:pPr>
        <w:pStyle w:val="36"/>
        <w:spacing w:before="158" w:beforeLines="50"/>
        <w:ind w:firstLine="199" w:firstLineChars="95"/>
        <w:jc w:val="left"/>
        <w:rPr>
          <w:rFonts w:cs="Helvetica" w:asciiTheme="minorEastAsia" w:hAnsiTheme="minorEastAsia" w:eastAsiaTheme="minorEastAsia"/>
          <w:color w:val="000000" w:themeColor="text1"/>
          <w:shd w:val="clear" w:color="auto" w:fill="FFFFFF"/>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E.3.3</w:t>
      </w:r>
      <w:r>
        <w:rPr>
          <w:rFonts w:hint="eastAsia" w:cs="Helvetica" w:asciiTheme="minorEastAsia" w:hAnsiTheme="minorEastAsia" w:eastAsiaTheme="minorEastAsia"/>
          <w:color w:val="000000" w:themeColor="text1"/>
          <w:shd w:val="clear" w:color="auto" w:fill="FFFFFF"/>
          <w14:textFill>
            <w14:solidFill>
              <w14:schemeClr w14:val="tx1"/>
            </w14:solidFill>
          </w14:textFill>
        </w:rPr>
        <w:t xml:space="preserve"> </w:t>
      </w:r>
      <w:r>
        <w:rPr>
          <w:rFonts w:cs="Helvetica" w:asciiTheme="minorEastAsia" w:hAnsiTheme="minorEastAsia" w:eastAsiaTheme="minorEastAsia"/>
          <w:color w:val="000000" w:themeColor="text1"/>
          <w:shd w:val="clear" w:color="auto" w:fill="FFFFFF"/>
          <w14:textFill>
            <w14:solidFill>
              <w14:schemeClr w14:val="tx1"/>
            </w14:solidFill>
          </w14:textFill>
        </w:rPr>
        <w:t>网络安全等保2.0技术产品</w:t>
      </w:r>
    </w:p>
    <w:p>
      <w:pPr>
        <w:pStyle w:val="36"/>
        <w:spacing w:after="158" w:afterLines="50"/>
        <w:jc w:val="center"/>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表</w:t>
      </w:r>
      <w:r>
        <w:rPr>
          <w:rFonts w:hint="eastAsia" w:ascii="黑体" w:hAnsi="黑体" w:eastAsia="黑体" w:cs="黑体"/>
          <w:color w:val="000000" w:themeColor="text1"/>
          <w14:textFill>
            <w14:solidFill>
              <w14:schemeClr w14:val="tx1"/>
            </w14:solidFill>
          </w14:textFill>
        </w:rPr>
        <w:t>E.</w:t>
      </w:r>
      <w:r>
        <w:rPr>
          <w:rFonts w:hint="eastAsia" w:ascii="黑体" w:hAnsi="黑体" w:eastAsia="黑体" w:cs="黑体"/>
          <w:color w:val="000000" w:themeColor="text1"/>
          <w:shd w:val="clear" w:color="auto" w:fill="FFFFFF"/>
          <w14:textFill>
            <w14:solidFill>
              <w14:schemeClr w14:val="tx1"/>
            </w14:solidFill>
          </w14:textFill>
        </w:rPr>
        <w:t>4 网络安全等保2.0技术产品课程内容与要求</w:t>
      </w:r>
    </w:p>
    <w:tbl>
      <w:tblPr>
        <w:tblStyle w:val="28"/>
        <w:tblW w:w="902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65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938" w:type="dxa"/>
            <w:vAlign w:val="center"/>
          </w:tcPr>
          <w:p>
            <w:pPr>
              <w:pStyle w:val="36"/>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章节号</w:t>
            </w:r>
          </w:p>
        </w:tc>
        <w:tc>
          <w:tcPr>
            <w:tcW w:w="1654" w:type="dxa"/>
            <w:vAlign w:val="center"/>
          </w:tcPr>
          <w:p>
            <w:pPr>
              <w:pStyle w:val="36"/>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章节名</w:t>
            </w:r>
          </w:p>
        </w:tc>
        <w:tc>
          <w:tcPr>
            <w:tcW w:w="6431" w:type="dxa"/>
            <w:vAlign w:val="center"/>
          </w:tcPr>
          <w:p>
            <w:pPr>
              <w:pStyle w:val="36"/>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3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54" w:type="dxa"/>
            <w:vAlign w:val="center"/>
          </w:tcPr>
          <w:p>
            <w:pPr>
              <w:pStyle w:val="36"/>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VPN原理与实践</w:t>
            </w:r>
          </w:p>
        </w:tc>
        <w:tc>
          <w:tcPr>
            <w:tcW w:w="6431" w:type="dxa"/>
            <w:vAlign w:val="center"/>
          </w:tcPr>
          <w:p>
            <w:pPr>
              <w:rPr>
                <w:rFonts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掌握IPsec VPN、GRE Over IPsec、DMVPN、SSL VPN等网络安全技术。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54" w:type="dxa"/>
            <w:vAlign w:val="center"/>
          </w:tcPr>
          <w:p>
            <w:pPr>
              <w:pStyle w:val="36"/>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防火墙原理与实践</w:t>
            </w:r>
          </w:p>
        </w:tc>
        <w:tc>
          <w:tcPr>
            <w:tcW w:w="6431" w:type="dxa"/>
            <w:vAlign w:val="center"/>
          </w:tcPr>
          <w:p>
            <w:pPr>
              <w:pStyle w:val="36"/>
              <w:ind w:firstLine="0" w:firstLineChars="0"/>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掌握</w:t>
            </w:r>
            <w:r>
              <w:fldChar w:fldCharType="begin"/>
            </w:r>
            <w:r>
              <w:instrText xml:space="preserve"> HYPERLINK "https://baike.baidu.com/item/%E9%98%B2%E7%81%AB%E5%A2%99" \t "https://baike.baidu.com/item/%E9%98%B2%E7%81%AB%E5%A2%99%E4%B8%8EVPN%E5%8E%9F%E7%90%86%E4%B8%8E%E5%AE%9E%E8%B7%B5/_blank" </w:instrText>
            </w:r>
            <w:r>
              <w:fldChar w:fldCharType="separate"/>
            </w:r>
            <w:r>
              <w:rPr>
                <w:rFonts w:hint="eastAsia" w:ascii="宋体" w:hAnsi="宋体" w:cs="宋体"/>
                <w:color w:val="000000" w:themeColor="text1"/>
                <w:kern w:val="0"/>
                <w:sz w:val="18"/>
                <w:szCs w:val="18"/>
                <w:shd w:val="clear" w:color="auto" w:fill="FFFFFF"/>
                <w14:textFill>
                  <w14:solidFill>
                    <w14:schemeClr w14:val="tx1"/>
                  </w14:solidFill>
                </w14:textFill>
              </w:rPr>
              <w:t>防火墙</w:t>
            </w:r>
            <w:r>
              <w:rPr>
                <w:rFonts w:hint="eastAsia" w:ascii="宋体" w:hAnsi="宋体" w:cs="宋体"/>
                <w:color w:val="000000" w:themeColor="text1"/>
                <w:kern w:val="0"/>
                <w:sz w:val="18"/>
                <w:szCs w:val="18"/>
                <w:shd w:val="clear" w:color="auto" w:fill="FFFFFF"/>
                <w14:textFill>
                  <w14:solidFill>
                    <w14:schemeClr w14:val="tx1"/>
                  </w14:solidFill>
                </w14:textFill>
              </w:rPr>
              <w:fldChar w:fldCharType="end"/>
            </w:r>
            <w:r>
              <w:rPr>
                <w:rFonts w:hint="eastAsia" w:ascii="宋体" w:hAnsi="宋体" w:cs="宋体"/>
                <w:color w:val="000000" w:themeColor="text1"/>
                <w:kern w:val="0"/>
                <w:sz w:val="18"/>
                <w:szCs w:val="18"/>
                <w:shd w:val="clear" w:color="auto" w:fill="FFFFFF"/>
                <w14:textFill>
                  <w14:solidFill>
                    <w14:schemeClr w14:val="tx1"/>
                  </w14:solidFill>
                </w14:textFill>
              </w:rPr>
              <w:t>安装和配置实践，特定的</w:t>
            </w:r>
            <w:r>
              <w:fldChar w:fldCharType="begin"/>
            </w:r>
            <w:r>
              <w:instrText xml:space="preserve"> HYPERLINK "https://baike.baidu.com/item/%E9%98%B2%E7%81%AB%E5%A2%99%E6%8A%80%E6%9C%AF" \t "https://baike.baidu.com/item/%E9%98%B2%E7%81%AB%E5%A2%99%E4%B8%8EVPN%E5%8E%9F%E7%90%86%E4%B8%8E%E5%AE%9E%E8%B7%B5/_blank" </w:instrText>
            </w:r>
            <w:r>
              <w:fldChar w:fldCharType="separate"/>
            </w:r>
            <w:r>
              <w:rPr>
                <w:rFonts w:hint="eastAsia" w:ascii="宋体" w:hAnsi="宋体" w:cs="宋体"/>
                <w:color w:val="000000" w:themeColor="text1"/>
                <w:kern w:val="0"/>
                <w:sz w:val="18"/>
                <w:szCs w:val="18"/>
                <w:shd w:val="clear" w:color="auto" w:fill="FFFFFF"/>
                <w14:textFill>
                  <w14:solidFill>
                    <w14:schemeClr w14:val="tx1"/>
                  </w14:solidFill>
                </w14:textFill>
              </w:rPr>
              <w:t>防火墙技术</w:t>
            </w:r>
            <w:r>
              <w:rPr>
                <w:rFonts w:hint="eastAsia" w:ascii="宋体" w:hAnsi="宋体" w:cs="宋体"/>
                <w:color w:val="000000" w:themeColor="text1"/>
                <w:kern w:val="0"/>
                <w:sz w:val="18"/>
                <w:szCs w:val="18"/>
                <w:shd w:val="clear" w:color="auto" w:fill="FFFFFF"/>
                <w14:textFill>
                  <w14:solidFill>
                    <w14:schemeClr w14:val="tx1"/>
                  </w14:solidFill>
                </w14:textFill>
              </w:rPr>
              <w:fldChar w:fldCharType="end"/>
            </w:r>
            <w:r>
              <w:rPr>
                <w:rFonts w:hint="eastAsia" w:ascii="宋体" w:hAnsi="宋体" w:cs="宋体"/>
                <w:color w:val="000000" w:themeColor="text1"/>
                <w:kern w:val="0"/>
                <w:sz w:val="18"/>
                <w:szCs w:val="18"/>
                <w:shd w:val="clear" w:color="auto" w:fill="FFFFFF"/>
                <w14:textFill>
                  <w14:solidFill>
                    <w14:schemeClr w14:val="tx1"/>
                  </w14:solidFill>
                </w14:textFill>
              </w:rPr>
              <w:t>、工具和技巧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654" w:type="dxa"/>
            <w:vAlign w:val="center"/>
          </w:tcPr>
          <w:p>
            <w:pPr>
              <w:pStyle w:val="36"/>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入侵防御原理与实践</w:t>
            </w:r>
          </w:p>
        </w:tc>
        <w:tc>
          <w:tcPr>
            <w:tcW w:w="6431" w:type="dxa"/>
            <w:vAlign w:val="center"/>
          </w:tcPr>
          <w:p>
            <w:pPr>
              <w:pStyle w:val="36"/>
              <w:ind w:firstLine="0" w:firstLineChars="0"/>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掌握入侵防御系统的功能、原理与部署、关键技术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654" w:type="dxa"/>
            <w:vAlign w:val="center"/>
          </w:tcPr>
          <w:p>
            <w:pPr>
              <w:pStyle w:val="36"/>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漏洞扫描原理与实践</w:t>
            </w:r>
          </w:p>
        </w:tc>
        <w:tc>
          <w:tcPr>
            <w:tcW w:w="6431" w:type="dxa"/>
            <w:vAlign w:val="center"/>
          </w:tcPr>
          <w:p>
            <w:pPr>
              <w:pStyle w:val="36"/>
              <w:ind w:firstLine="0" w:firstLineChars="0"/>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掌握漏洞扫描与防护相关理论与技术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93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654" w:type="dxa"/>
            <w:vAlign w:val="center"/>
          </w:tcPr>
          <w:p>
            <w:pPr>
              <w:pStyle w:val="36"/>
              <w:ind w:firstLine="0" w:firstLineChars="0"/>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信息安全审计</w:t>
            </w:r>
          </w:p>
        </w:tc>
        <w:tc>
          <w:tcPr>
            <w:tcW w:w="6431" w:type="dxa"/>
            <w:vAlign w:val="center"/>
          </w:tcPr>
          <w:p>
            <w:pPr>
              <w:pStyle w:val="36"/>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掌握如何根据相关标准、法规进行合规性安全审计，以及如何对计算机信息系统中的所有网络资源（包括数据库、主机、操作系统、网络设备、安全设备等）进行安全审计，记录所有发生的事件，为系统管理员提供系统维护以及安全防范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938" w:type="dxa"/>
            <w:vAlign w:val="center"/>
          </w:tcPr>
          <w:p>
            <w:pPr>
              <w:pStyle w:val="36"/>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1654" w:type="dxa"/>
            <w:vAlign w:val="center"/>
          </w:tcPr>
          <w:p>
            <w:pPr>
              <w:pStyle w:val="36"/>
              <w:ind w:firstLine="0" w:firstLineChars="0"/>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安全设备</w:t>
            </w:r>
          </w:p>
        </w:tc>
        <w:tc>
          <w:tcPr>
            <w:tcW w:w="6431" w:type="dxa"/>
            <w:vAlign w:val="center"/>
          </w:tcPr>
          <w:p>
            <w:pPr>
              <w:pStyle w:val="36"/>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了解HPS、上网行为管理，WAF主流产品</w:t>
            </w:r>
          </w:p>
        </w:tc>
      </w:tr>
    </w:tbl>
    <w:p>
      <w:pPr>
        <w:pStyle w:val="36"/>
        <w:spacing w:before="158" w:beforeLines="50"/>
        <w:ind w:left="160" w:hanging="159" w:hangingChars="76"/>
        <w:rPr>
          <w:rFonts w:cs="Helvetica" w:asciiTheme="minorEastAsia" w:hAnsiTheme="minorEastAsia" w:eastAsiaTheme="minorEastAsia"/>
          <w:color w:val="000000" w:themeColor="text1"/>
          <w:shd w:val="clear" w:color="auto" w:fill="FFFFFF"/>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E.3.4</w:t>
      </w:r>
      <w:r>
        <w:rPr>
          <w:rFonts w:hint="eastAsia" w:cs="Helvetica" w:asciiTheme="minorEastAsia" w:hAnsiTheme="minorEastAsia" w:eastAsiaTheme="minorEastAsia"/>
          <w:color w:val="000000" w:themeColor="text1"/>
          <w:shd w:val="clear" w:color="auto" w:fill="FFFFFF"/>
          <w14:textFill>
            <w14:solidFill>
              <w14:schemeClr w14:val="tx1"/>
            </w14:solidFill>
          </w14:textFill>
        </w:rPr>
        <w:t xml:space="preserve">  渗透测试与攻防实战</w:t>
      </w:r>
    </w:p>
    <w:p>
      <w:pPr>
        <w:pStyle w:val="36"/>
        <w:spacing w:after="158" w:afterLines="50"/>
        <w:ind w:left="380" w:firstLine="0" w:firstLineChars="0"/>
        <w:jc w:val="center"/>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表</w:t>
      </w:r>
      <w:r>
        <w:rPr>
          <w:rFonts w:hint="eastAsia" w:ascii="黑体" w:hAnsi="黑体" w:eastAsia="黑体" w:cs="黑体"/>
          <w:color w:val="000000" w:themeColor="text1"/>
          <w14:textFill>
            <w14:solidFill>
              <w14:schemeClr w14:val="tx1"/>
            </w14:solidFill>
          </w14:textFill>
        </w:rPr>
        <w:t>I.</w:t>
      </w:r>
      <w:r>
        <w:rPr>
          <w:rFonts w:hint="eastAsia" w:ascii="黑体" w:hAnsi="黑体" w:eastAsia="黑体" w:cs="黑体"/>
          <w:color w:val="000000" w:themeColor="text1"/>
          <w:shd w:val="clear" w:color="auto" w:fill="FFFFFF"/>
          <w14:textFill>
            <w14:solidFill>
              <w14:schemeClr w14:val="tx1"/>
            </w14:solidFill>
          </w14:textFill>
        </w:rPr>
        <w:t>5  渗透测试与攻防实战课程内容与要求</w:t>
      </w:r>
    </w:p>
    <w:tbl>
      <w:tblPr>
        <w:tblStyle w:val="28"/>
        <w:tblW w:w="9038"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654"/>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923" w:type="dxa"/>
            <w:vAlign w:val="center"/>
          </w:tcPr>
          <w:p>
            <w:pPr>
              <w:pStyle w:val="36"/>
              <w:spacing w:line="288" w:lineRule="auto"/>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章节号</w:t>
            </w:r>
          </w:p>
        </w:tc>
        <w:tc>
          <w:tcPr>
            <w:tcW w:w="1654" w:type="dxa"/>
            <w:vAlign w:val="center"/>
          </w:tcPr>
          <w:p>
            <w:pPr>
              <w:pStyle w:val="36"/>
              <w:spacing w:line="288" w:lineRule="auto"/>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章节名</w:t>
            </w:r>
          </w:p>
        </w:tc>
        <w:tc>
          <w:tcPr>
            <w:tcW w:w="6461" w:type="dxa"/>
            <w:vAlign w:val="center"/>
          </w:tcPr>
          <w:p>
            <w:pPr>
              <w:pStyle w:val="36"/>
              <w:spacing w:line="288" w:lineRule="auto"/>
              <w:ind w:firstLine="0" w:firstLineChars="0"/>
              <w:jc w:val="center"/>
              <w:rPr>
                <w:rFonts w:ascii="黑体" w:hAnsi="黑体" w:eastAsia="黑体" w:cs="黑体"/>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3" w:type="dxa"/>
            <w:vAlign w:val="center"/>
          </w:tcPr>
          <w:p>
            <w:pPr>
              <w:pStyle w:val="36"/>
              <w:spacing w:line="288" w:lineRule="auto"/>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54" w:type="dxa"/>
            <w:vAlign w:val="center"/>
          </w:tcPr>
          <w:p>
            <w:pPr>
              <w:pStyle w:val="36"/>
              <w:spacing w:line="288" w:lineRule="auto"/>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web安全渗透测试与安全防御</w:t>
            </w:r>
          </w:p>
        </w:tc>
        <w:tc>
          <w:tcPr>
            <w:tcW w:w="6461" w:type="dxa"/>
            <w:vAlign w:val="center"/>
          </w:tcPr>
          <w:p>
            <w:pPr>
              <w:spacing w:line="288" w:lineRule="auto"/>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了解渗透测试的基础知识，掌握渗透测试环境的部署，重点掌握Web应用、移动应用漏洞利用。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3" w:type="dxa"/>
            <w:vAlign w:val="center"/>
          </w:tcPr>
          <w:p>
            <w:pPr>
              <w:pStyle w:val="36"/>
              <w:spacing w:line="288" w:lineRule="auto"/>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54" w:type="dxa"/>
            <w:vAlign w:val="center"/>
          </w:tcPr>
          <w:p>
            <w:pPr>
              <w:pStyle w:val="36"/>
              <w:spacing w:line="288" w:lineRule="auto"/>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Kali Linux渗透测试攻防实战</w:t>
            </w:r>
          </w:p>
        </w:tc>
        <w:tc>
          <w:tcPr>
            <w:tcW w:w="6461" w:type="dxa"/>
            <w:vAlign w:val="center"/>
          </w:tcPr>
          <w:p>
            <w:pPr>
              <w:pStyle w:val="36"/>
              <w:spacing w:line="288" w:lineRule="auto"/>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掌握Kali Linux渗透测试的各种核心技术，涵盖从安装配置，到信息收集和漏洞扫描及利用，再到权限提升及各种渗透测试等技术。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23" w:type="dxa"/>
            <w:vAlign w:val="center"/>
          </w:tcPr>
          <w:p>
            <w:pPr>
              <w:pStyle w:val="36"/>
              <w:spacing w:line="288" w:lineRule="auto"/>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654" w:type="dxa"/>
            <w:vAlign w:val="center"/>
          </w:tcPr>
          <w:p>
            <w:pPr>
              <w:pStyle w:val="36"/>
              <w:spacing w:line="288" w:lineRule="auto"/>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WHFI无线安全攻防</w:t>
            </w:r>
          </w:p>
        </w:tc>
        <w:tc>
          <w:tcPr>
            <w:tcW w:w="6461" w:type="dxa"/>
            <w:vAlign w:val="center"/>
          </w:tcPr>
          <w:p>
            <w:pPr>
              <w:pStyle w:val="36"/>
              <w:spacing w:line="288" w:lineRule="auto"/>
              <w:ind w:firstLine="0" w:firstLineChars="0"/>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掌握设备硬件以及无线电通信的威胁。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923" w:type="dxa"/>
            <w:vAlign w:val="center"/>
          </w:tcPr>
          <w:p>
            <w:pPr>
              <w:pStyle w:val="36"/>
              <w:adjustRightInd w:val="0"/>
              <w:snapToGrid w:val="0"/>
              <w:spacing w:line="288" w:lineRule="auto"/>
              <w:ind w:firstLine="0" w:firstLineChars="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654" w:type="dxa"/>
            <w:vAlign w:val="center"/>
          </w:tcPr>
          <w:p>
            <w:pPr>
              <w:spacing w:line="288" w:lineRule="auto"/>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攻防实战</w:t>
            </w:r>
          </w:p>
        </w:tc>
        <w:tc>
          <w:tcPr>
            <w:tcW w:w="6461" w:type="dxa"/>
            <w:vAlign w:val="center"/>
          </w:tcPr>
          <w:p>
            <w:pPr>
              <w:pStyle w:val="36"/>
              <w:adjustRightInd w:val="0"/>
              <w:snapToGrid w:val="0"/>
              <w:spacing w:line="288" w:lineRule="auto"/>
              <w:ind w:firstLine="0" w:firstLineChars="0"/>
              <w:rPr>
                <w:rFonts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掌握攻防实战技术</w:t>
            </w:r>
          </w:p>
        </w:tc>
      </w:tr>
    </w:tbl>
    <w:p>
      <w:pPr>
        <w:pStyle w:val="60"/>
        <w:ind w:firstLine="0" w:firstLineChars="0"/>
        <w:jc w:val="center"/>
      </w:pPr>
      <w:r>
        <w:rPr>
          <w:rFonts w:ascii="黑体" w:hAnsi="黑体" w:eastAsia="黑体" w:cs="黑体"/>
        </w:rPr>
        <w:br w:type="page"/>
      </w:r>
    </w:p>
    <w:p>
      <w:pPr>
        <w:tabs>
          <w:tab w:val="left" w:pos="3455"/>
        </w:tabs>
        <w:spacing w:line="360" w:lineRule="auto"/>
        <w:jc w:val="center"/>
        <w:outlineLvl w:val="0"/>
        <w:rPr>
          <w:rFonts w:ascii="黑体" w:hAnsi="黑体" w:eastAsia="黑体" w:cs="黑体"/>
          <w:szCs w:val="21"/>
        </w:rPr>
      </w:pPr>
      <w:bookmarkStart w:id="99" w:name="_Toc24543"/>
      <w:bookmarkStart w:id="100" w:name="_Toc26064"/>
      <w:r>
        <w:rPr>
          <w:rFonts w:hint="eastAsia" w:ascii="黑体" w:hAnsi="黑体" w:eastAsia="黑体" w:cs="黑体"/>
          <w:szCs w:val="21"/>
        </w:rPr>
        <w:t>附 录F</w:t>
      </w:r>
      <w:bookmarkEnd w:id="99"/>
      <w:bookmarkEnd w:id="100"/>
    </w:p>
    <w:p>
      <w:pPr>
        <w:tabs>
          <w:tab w:val="left" w:pos="3455"/>
        </w:tabs>
        <w:spacing w:line="360" w:lineRule="auto"/>
        <w:jc w:val="center"/>
        <w:outlineLvl w:val="0"/>
        <w:rPr>
          <w:rFonts w:ascii="黑体" w:hAnsi="黑体" w:eastAsia="黑体" w:cs="黑体"/>
          <w:szCs w:val="21"/>
        </w:rPr>
      </w:pPr>
      <w:bookmarkStart w:id="101" w:name="_Toc8716"/>
      <w:bookmarkStart w:id="102" w:name="_Toc18112"/>
      <w:r>
        <w:rPr>
          <w:rFonts w:hint="eastAsia" w:ascii="黑体" w:hAnsi="黑体" w:eastAsia="黑体" w:cs="黑体"/>
          <w:szCs w:val="21"/>
        </w:rPr>
        <w:t>（规范性）</w:t>
      </w:r>
      <w:bookmarkEnd w:id="101"/>
      <w:bookmarkEnd w:id="102"/>
    </w:p>
    <w:p>
      <w:pPr>
        <w:tabs>
          <w:tab w:val="left" w:pos="3455"/>
        </w:tabs>
        <w:spacing w:after="283" w:line="360" w:lineRule="auto"/>
        <w:jc w:val="center"/>
        <w:outlineLvl w:val="0"/>
        <w:rPr>
          <w:rFonts w:ascii="黑体" w:hAnsi="黑体" w:eastAsia="黑体" w:cs="黑体"/>
          <w:szCs w:val="21"/>
        </w:rPr>
      </w:pPr>
      <w:bookmarkStart w:id="103" w:name="_Toc1699"/>
      <w:bookmarkStart w:id="104" w:name="_Toc2421"/>
      <w:bookmarkStart w:id="105" w:name="_Toc18050"/>
      <w:r>
        <w:rPr>
          <w:rFonts w:hint="eastAsia" w:ascii="黑体" w:hAnsi="黑体" w:eastAsia="黑体" w:cs="黑体"/>
          <w:szCs w:val="21"/>
        </w:rPr>
        <w:t>软件安全开发方向考试大纲</w:t>
      </w:r>
      <w:bookmarkEnd w:id="103"/>
      <w:bookmarkEnd w:id="104"/>
      <w:bookmarkEnd w:id="105"/>
    </w:p>
    <w:p>
      <w:pPr>
        <w:pStyle w:val="58"/>
        <w:spacing w:line="360" w:lineRule="auto"/>
        <w:ind w:firstLine="0" w:firstLineChars="0"/>
        <w:rPr>
          <w:rFonts w:ascii="黑体" w:hAnsi="黑体" w:eastAsia="黑体" w:cs="黑体"/>
        </w:rPr>
      </w:pPr>
      <w:r>
        <w:rPr>
          <w:rFonts w:hint="eastAsia" w:ascii="黑体" w:hAnsi="黑体" w:eastAsia="黑体" w:cs="黑体"/>
        </w:rPr>
        <w:t>F.1 目的</w:t>
      </w:r>
    </w:p>
    <w:p>
      <w:pPr>
        <w:pStyle w:val="36"/>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为使考生</w:t>
      </w:r>
      <w:r>
        <w:rPr>
          <w:rFonts w:hint="eastAsia" w:ascii="宋体" w:hAnsi="宋体"/>
          <w:color w:val="000000" w:themeColor="text1"/>
          <w14:textFill>
            <w14:solidFill>
              <w14:schemeClr w14:val="tx1"/>
            </w14:solidFill>
          </w14:textFill>
        </w:rPr>
        <w:t>达到本认证规范中网络空间安全专业人员在软件安全开发方向二级、三级能力要求，</w:t>
      </w:r>
      <w:r>
        <w:rPr>
          <w:rFonts w:ascii="宋体" w:hAnsi="宋体"/>
          <w:color w:val="000000" w:themeColor="text1"/>
          <w14:textFill>
            <w14:solidFill>
              <w14:schemeClr w14:val="tx1"/>
            </w14:solidFill>
          </w14:textFill>
        </w:rPr>
        <w:t>指导考生有效准备考试，特制定本考试大纲</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以下简称大纲</w:t>
      </w:r>
      <w:r>
        <w:rPr>
          <w:rFonts w:hint="eastAsia" w:ascii="宋体" w:hAnsi="宋体"/>
          <w:color w:val="000000" w:themeColor="text1"/>
          <w14:textFill>
            <w14:solidFill>
              <w14:schemeClr w14:val="tx1"/>
            </w14:solidFill>
          </w14:textFill>
        </w:rPr>
        <w:t>）。</w:t>
      </w:r>
    </w:p>
    <w:p>
      <w:pPr>
        <w:spacing w:line="480" w:lineRule="auto"/>
        <w:rPr>
          <w:rFonts w:ascii="黑体" w:hAnsi="黑体" w:eastAsia="黑体" w:cs="黑体"/>
        </w:rPr>
      </w:pPr>
      <w:r>
        <w:rPr>
          <w:rFonts w:hint="eastAsia" w:ascii="黑体" w:hAnsi="黑体" w:eastAsia="黑体" w:cs="黑体"/>
        </w:rPr>
        <w:t>F.2 考试内容</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F.2.1 专业课程要求</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表F.1 课程要求</w:t>
      </w:r>
    </w:p>
    <w:tbl>
      <w:tblPr>
        <w:tblStyle w:val="28"/>
        <w:tblW w:w="937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988"/>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700" w:type="dxa"/>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课程名称</w:t>
            </w:r>
          </w:p>
        </w:tc>
        <w:tc>
          <w:tcPr>
            <w:tcW w:w="2988" w:type="dxa"/>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课程类型</w:t>
            </w:r>
          </w:p>
        </w:tc>
        <w:tc>
          <w:tcPr>
            <w:tcW w:w="3686" w:type="dxa"/>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0" w:type="dxa"/>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项目管理基础</w:t>
            </w:r>
          </w:p>
        </w:tc>
        <w:tc>
          <w:tcPr>
            <w:tcW w:w="2988"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686"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700" w:type="dxa"/>
          </w:tcPr>
          <w:p>
            <w:pPr>
              <w:pStyle w:val="2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软件安全开发</w:t>
            </w:r>
          </w:p>
        </w:tc>
        <w:tc>
          <w:tcPr>
            <w:tcW w:w="2988" w:type="dxa"/>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专业课程</w:t>
            </w:r>
          </w:p>
        </w:tc>
        <w:tc>
          <w:tcPr>
            <w:tcW w:w="3686" w:type="dxa"/>
          </w:tcPr>
          <w:p>
            <w:pPr>
              <w:jc w:val="center"/>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全部</w:t>
            </w:r>
          </w:p>
        </w:tc>
      </w:tr>
    </w:tbl>
    <w:p>
      <w:pPr>
        <w:pStyle w:val="58"/>
        <w:spacing w:before="158" w:beforeLines="50" w:line="360" w:lineRule="auto"/>
        <w:ind w:firstLine="0" w:firstLineChars="0"/>
        <w:rPr>
          <w:rFonts w:ascii="黑体" w:hAnsi="黑体" w:eastAsia="黑体" w:cs="黑体"/>
        </w:rPr>
      </w:pPr>
      <w:r>
        <w:rPr>
          <w:rFonts w:hint="eastAsia" w:ascii="黑体" w:hAnsi="黑体" w:eastAsia="黑体" w:cs="黑体"/>
        </w:rPr>
        <w:t>F.3  各课程知识点要求</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F.3.1 项目管理基础</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表F.2 项目管理基础课程内容与要求</w:t>
      </w:r>
    </w:p>
    <w:tbl>
      <w:tblPr>
        <w:tblStyle w:val="28"/>
        <w:tblW w:w="935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83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pStyle w:val="58"/>
              <w:spacing w:line="288" w:lineRule="auto"/>
              <w:ind w:firstLine="0" w:firstLineChars="0"/>
              <w:jc w:val="center"/>
              <w:rPr>
                <w:rFonts w:ascii="黑体" w:hAnsi="黑体" w:eastAsia="黑体" w:cs="黑体"/>
                <w:sz w:val="20"/>
                <w:szCs w:val="20"/>
              </w:rPr>
            </w:pPr>
            <w:r>
              <w:rPr>
                <w:rFonts w:hint="eastAsia" w:ascii="黑体" w:hAnsi="黑体" w:eastAsia="黑体" w:cs="黑体"/>
                <w:sz w:val="20"/>
                <w:szCs w:val="20"/>
              </w:rPr>
              <w:t>章节号</w:t>
            </w:r>
          </w:p>
        </w:tc>
        <w:tc>
          <w:tcPr>
            <w:tcW w:w="1833" w:type="dxa"/>
            <w:vAlign w:val="center"/>
          </w:tcPr>
          <w:p>
            <w:pPr>
              <w:pStyle w:val="58"/>
              <w:spacing w:line="288" w:lineRule="auto"/>
              <w:ind w:firstLine="0" w:firstLineChars="0"/>
              <w:jc w:val="center"/>
              <w:rPr>
                <w:rFonts w:ascii="黑体" w:hAnsi="黑体" w:eastAsia="黑体" w:cs="黑体"/>
                <w:sz w:val="20"/>
                <w:szCs w:val="20"/>
              </w:rPr>
            </w:pPr>
            <w:r>
              <w:rPr>
                <w:rFonts w:hint="eastAsia" w:ascii="黑体" w:hAnsi="黑体" w:eastAsia="黑体" w:cs="黑体"/>
                <w:sz w:val="20"/>
                <w:szCs w:val="20"/>
              </w:rPr>
              <w:t>章节名</w:t>
            </w:r>
          </w:p>
        </w:tc>
        <w:tc>
          <w:tcPr>
            <w:tcW w:w="6520" w:type="dxa"/>
            <w:vAlign w:val="center"/>
          </w:tcPr>
          <w:p>
            <w:pPr>
              <w:pStyle w:val="58"/>
              <w:spacing w:line="288" w:lineRule="auto"/>
              <w:ind w:firstLine="0" w:firstLineChars="0"/>
              <w:jc w:val="center"/>
              <w:rPr>
                <w:rFonts w:ascii="黑体" w:hAnsi="黑体" w:eastAsia="黑体" w:cs="黑体"/>
                <w:sz w:val="20"/>
                <w:szCs w:val="20"/>
              </w:rPr>
            </w:pPr>
            <w:r>
              <w:rPr>
                <w:rFonts w:hint="eastAsia" w:ascii="黑体" w:hAnsi="黑体" w:eastAsia="黑体" w:cs="黑体"/>
                <w:sz w:val="20"/>
                <w:szCs w:val="2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1</w:t>
            </w:r>
          </w:p>
        </w:tc>
        <w:tc>
          <w:tcPr>
            <w:tcW w:w="1833" w:type="dxa"/>
            <w:vAlign w:val="center"/>
          </w:tcPr>
          <w:p>
            <w:pPr>
              <w:pStyle w:val="25"/>
              <w:spacing w:line="288" w:lineRule="auto"/>
              <w:rPr>
                <w:sz w:val="18"/>
                <w:szCs w:val="18"/>
              </w:rPr>
            </w:pPr>
            <w:r>
              <w:rPr>
                <w:rFonts w:hint="eastAsia"/>
                <w:sz w:val="18"/>
                <w:szCs w:val="18"/>
              </w:rPr>
              <w:t xml:space="preserve">项 目 管 理 基本概念 </w:t>
            </w:r>
          </w:p>
        </w:tc>
        <w:tc>
          <w:tcPr>
            <w:tcW w:w="6520" w:type="dxa"/>
            <w:vAlign w:val="center"/>
          </w:tcPr>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正确理解项目的本质 </w:t>
            </w:r>
          </w:p>
          <w:p>
            <w:pPr>
              <w:pStyle w:val="58"/>
              <w:spacing w:line="288" w:lineRule="auto"/>
              <w:ind w:firstLine="0" w:firstLineChars="0"/>
              <w:rPr>
                <w:rFonts w:ascii="宋体" w:hAnsi="宋体" w:cs="宋体"/>
                <w:sz w:val="18"/>
                <w:szCs w:val="18"/>
              </w:rPr>
            </w:pPr>
            <w:r>
              <w:rPr>
                <w:rFonts w:hint="eastAsia" w:ascii="宋体" w:hAnsi="宋体" w:cs="宋体"/>
                <w:sz w:val="18"/>
                <w:szCs w:val="18"/>
              </w:rPr>
              <w:t>正确理解管理的本质</w:t>
            </w:r>
          </w:p>
          <w:p>
            <w:pPr>
              <w:pStyle w:val="58"/>
              <w:spacing w:line="288" w:lineRule="auto"/>
              <w:ind w:firstLine="0" w:firstLineChars="0"/>
              <w:rPr>
                <w:rFonts w:ascii="宋体" w:hAnsi="宋体" w:cs="宋体"/>
                <w:sz w:val="18"/>
                <w:szCs w:val="18"/>
              </w:rPr>
            </w:pPr>
            <w:r>
              <w:rPr>
                <w:rFonts w:hint="eastAsia" w:ascii="宋体" w:hAnsi="宋体" w:cs="宋体"/>
                <w:sz w:val="18"/>
                <w:szCs w:val="18"/>
              </w:rPr>
              <w:t>掌握项目管理的基本分类</w:t>
            </w:r>
          </w:p>
          <w:p>
            <w:pPr>
              <w:pStyle w:val="58"/>
              <w:spacing w:line="288" w:lineRule="auto"/>
              <w:ind w:firstLine="0" w:firstLineChars="0"/>
              <w:rPr>
                <w:rFonts w:ascii="宋体" w:hAnsi="宋体" w:cs="宋体"/>
                <w:sz w:val="18"/>
                <w:szCs w:val="18"/>
              </w:rPr>
            </w:pPr>
            <w:r>
              <w:rPr>
                <w:rFonts w:hint="eastAsia" w:ascii="宋体" w:hAnsi="宋体" w:cs="宋体"/>
                <w:sz w:val="18"/>
                <w:szCs w:val="18"/>
              </w:rPr>
              <w:t>熟练掌握项目管理的生命周期与流程</w:t>
            </w:r>
          </w:p>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掌握项目管理相对其 他管理的特性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2</w:t>
            </w:r>
          </w:p>
        </w:tc>
        <w:tc>
          <w:tcPr>
            <w:tcW w:w="1833" w:type="dxa"/>
            <w:vAlign w:val="center"/>
          </w:tcPr>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项目管理的发展历史与现状 </w:t>
            </w:r>
          </w:p>
        </w:tc>
        <w:tc>
          <w:tcPr>
            <w:tcW w:w="6520" w:type="dxa"/>
            <w:vAlign w:val="center"/>
          </w:tcPr>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了解项目管理的发展过程 </w:t>
            </w:r>
          </w:p>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了解国际项目管理发展现状 </w:t>
            </w:r>
          </w:p>
          <w:p>
            <w:pPr>
              <w:pStyle w:val="58"/>
              <w:spacing w:line="288" w:lineRule="auto"/>
              <w:ind w:firstLine="0" w:firstLineChars="0"/>
              <w:rPr>
                <w:rFonts w:ascii="宋体" w:hAnsi="宋体" w:cs="宋体"/>
                <w:sz w:val="18"/>
                <w:szCs w:val="18"/>
              </w:rPr>
            </w:pPr>
            <w:r>
              <w:rPr>
                <w:rFonts w:hint="eastAsia" w:ascii="宋体" w:hAnsi="宋体" w:cs="宋体"/>
                <w:sz w:val="18"/>
                <w:szCs w:val="18"/>
              </w:rPr>
              <w:t>了解国际国内项目管理人员认证情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3</w:t>
            </w:r>
          </w:p>
        </w:tc>
        <w:tc>
          <w:tcPr>
            <w:tcW w:w="1833"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九大项目管理知识领域 </w:t>
            </w:r>
          </w:p>
        </w:tc>
        <w:tc>
          <w:tcPr>
            <w:tcW w:w="6520"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熟练掌握项目综合管理、项目范围管理、 项目时间管理、项目成本管理、项目质量管理、项目人力资源管理、项目沟通管理、 项目风险管理和项目采购管理思想与方法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掌握项目综合管理、 项目范围管理、项目 时间管理、项目成本管理、项目质量管理、 项目人力资源管理、 项目沟通管理、项目风险管理和项目采购管理工具和实施技巧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4</w:t>
            </w:r>
          </w:p>
        </w:tc>
        <w:tc>
          <w:tcPr>
            <w:tcW w:w="1833"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开发类项目管理技巧</w:t>
            </w:r>
          </w:p>
        </w:tc>
        <w:tc>
          <w:tcPr>
            <w:tcW w:w="6520"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掌握开发类项目管理的特点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掌握开发类项目生命周期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正确掌握开发类项目九大管理知识领域特性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实践一个完整的开发类项目过程 </w:t>
            </w:r>
          </w:p>
        </w:tc>
      </w:tr>
    </w:tbl>
    <w:p>
      <w:pPr>
        <w:pStyle w:val="58"/>
        <w:ind w:left="380" w:firstLine="0" w:firstLineChars="0"/>
      </w:pPr>
    </w:p>
    <w:p>
      <w:pPr>
        <w:pStyle w:val="60"/>
        <w:spacing w:after="158" w:afterLines="50"/>
        <w:ind w:left="378" w:hanging="378" w:hangingChars="180"/>
        <w:rPr>
          <w:rFonts w:ascii="黑体" w:hAnsi="黑体" w:eastAsia="黑体" w:cs="黑体"/>
          <w:color w:val="000000"/>
        </w:rPr>
      </w:pPr>
      <w:r>
        <w:rPr>
          <w:rFonts w:hint="eastAsia" w:ascii="黑体" w:hAnsi="黑体" w:eastAsia="黑体" w:cs="黑体"/>
          <w:color w:val="000000"/>
        </w:rPr>
        <w:t>F.3.2 软件安全开发</w:t>
      </w:r>
    </w:p>
    <w:p>
      <w:pPr>
        <w:pStyle w:val="60"/>
        <w:spacing w:after="158" w:afterLines="50"/>
        <w:ind w:left="378" w:hanging="378" w:hangingChars="180"/>
        <w:jc w:val="center"/>
        <w:rPr>
          <w:rFonts w:ascii="黑体" w:hAnsi="黑体" w:eastAsia="黑体" w:cs="黑体"/>
          <w:color w:val="000000"/>
        </w:rPr>
      </w:pPr>
      <w:r>
        <w:rPr>
          <w:rFonts w:hint="eastAsia" w:ascii="黑体" w:hAnsi="黑体" w:eastAsia="黑体" w:cs="黑体"/>
          <w:color w:val="000000"/>
        </w:rPr>
        <w:t>表F.4 软件安全开发课程内容与要求</w:t>
      </w:r>
    </w:p>
    <w:tbl>
      <w:tblPr>
        <w:tblStyle w:val="28"/>
        <w:tblW w:w="9180"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654"/>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spacing w:line="288" w:lineRule="auto"/>
              <w:ind w:firstLine="0" w:firstLineChars="0"/>
              <w:jc w:val="center"/>
              <w:rPr>
                <w:rFonts w:ascii="黑体" w:hAnsi="黑体" w:eastAsia="黑体" w:cs="黑体"/>
                <w:color w:val="000000"/>
              </w:rPr>
            </w:pPr>
            <w:r>
              <w:rPr>
                <w:rFonts w:hint="eastAsia" w:ascii="黑体" w:hAnsi="黑体" w:eastAsia="黑体" w:cs="黑体"/>
                <w:color w:val="000000"/>
              </w:rPr>
              <w:t>章节号</w:t>
            </w:r>
          </w:p>
        </w:tc>
        <w:tc>
          <w:tcPr>
            <w:tcW w:w="1654" w:type="dxa"/>
            <w:vAlign w:val="center"/>
          </w:tcPr>
          <w:p>
            <w:pPr>
              <w:pStyle w:val="60"/>
              <w:spacing w:line="288" w:lineRule="auto"/>
              <w:ind w:firstLine="0" w:firstLineChars="0"/>
              <w:jc w:val="center"/>
              <w:rPr>
                <w:rFonts w:ascii="黑体" w:hAnsi="黑体" w:eastAsia="黑体" w:cs="黑体"/>
                <w:color w:val="000000"/>
              </w:rPr>
            </w:pPr>
            <w:r>
              <w:rPr>
                <w:rFonts w:hint="eastAsia" w:ascii="黑体" w:hAnsi="黑体" w:eastAsia="黑体" w:cs="黑体"/>
                <w:color w:val="000000"/>
              </w:rPr>
              <w:t>章节名</w:t>
            </w:r>
          </w:p>
        </w:tc>
        <w:tc>
          <w:tcPr>
            <w:tcW w:w="6463" w:type="dxa"/>
            <w:vAlign w:val="center"/>
          </w:tcPr>
          <w:p>
            <w:pPr>
              <w:pStyle w:val="60"/>
              <w:spacing w:line="288" w:lineRule="auto"/>
              <w:ind w:firstLine="0" w:firstLineChars="0"/>
              <w:jc w:val="center"/>
              <w:rPr>
                <w:rFonts w:ascii="黑体" w:hAnsi="黑体" w:eastAsia="黑体" w:cs="黑体"/>
                <w:color w:val="000000"/>
              </w:rPr>
            </w:pPr>
            <w:r>
              <w:rPr>
                <w:rFonts w:hint="eastAsia" w:ascii="黑体" w:hAnsi="黑体" w:eastAsia="黑体" w:cs="黑体"/>
                <w:color w:val="00000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adjustRightInd w:val="0"/>
              <w:snapToGrid w:val="0"/>
              <w:spacing w:line="288" w:lineRule="auto"/>
              <w:ind w:firstLine="0" w:firstLineChars="0"/>
              <w:jc w:val="center"/>
              <w:rPr>
                <w:rFonts w:ascii="宋体" w:hAnsi="宋体" w:cs="宋体"/>
                <w:sz w:val="18"/>
                <w:szCs w:val="18"/>
              </w:rPr>
            </w:pPr>
            <w:r>
              <w:rPr>
                <w:rFonts w:hint="eastAsia" w:ascii="宋体" w:hAnsi="宋体" w:cs="宋体"/>
                <w:sz w:val="18"/>
                <w:szCs w:val="18"/>
              </w:rPr>
              <w:t>1</w:t>
            </w:r>
          </w:p>
        </w:tc>
        <w:tc>
          <w:tcPr>
            <w:tcW w:w="1654" w:type="dxa"/>
            <w:vAlign w:val="center"/>
          </w:tcPr>
          <w:p>
            <w:pPr>
              <w:spacing w:line="288" w:lineRule="auto"/>
              <w:rPr>
                <w:rFonts w:ascii="宋体" w:hAnsi="宋体" w:eastAsia="宋体" w:cs="宋体"/>
                <w:sz w:val="18"/>
                <w:szCs w:val="18"/>
              </w:rPr>
            </w:pPr>
            <w:r>
              <w:rPr>
                <w:rFonts w:hint="eastAsia" w:ascii="宋体" w:hAnsi="宋体" w:eastAsia="宋体" w:cs="宋体"/>
                <w:sz w:val="18"/>
                <w:szCs w:val="18"/>
              </w:rPr>
              <w:t>软件安全开发基础</w:t>
            </w:r>
          </w:p>
        </w:tc>
        <w:tc>
          <w:tcPr>
            <w:tcW w:w="6463"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了解软件安全开发背景</w:t>
            </w:r>
          </w:p>
          <w:p>
            <w:pPr>
              <w:spacing w:line="288" w:lineRule="auto"/>
              <w:rPr>
                <w:rFonts w:ascii="宋体" w:hAnsi="宋体" w:eastAsia="宋体" w:cs="宋体"/>
                <w:sz w:val="18"/>
                <w:szCs w:val="18"/>
              </w:rPr>
            </w:pPr>
            <w:r>
              <w:rPr>
                <w:rFonts w:hint="eastAsia" w:ascii="宋体" w:hAnsi="宋体" w:eastAsia="宋体" w:cs="宋体"/>
                <w:sz w:val="18"/>
                <w:szCs w:val="18"/>
              </w:rPr>
              <w:t>了解软件安全开发概念</w:t>
            </w:r>
          </w:p>
          <w:p>
            <w:pPr>
              <w:spacing w:line="288" w:lineRule="auto"/>
              <w:rPr>
                <w:rFonts w:ascii="宋体" w:hAnsi="宋体" w:eastAsia="宋体" w:cs="宋体"/>
                <w:sz w:val="18"/>
                <w:szCs w:val="18"/>
              </w:rPr>
            </w:pPr>
            <w:r>
              <w:rPr>
                <w:rFonts w:hint="eastAsia" w:ascii="宋体" w:hAnsi="宋体" w:eastAsia="宋体" w:cs="宋体"/>
                <w:sz w:val="18"/>
                <w:szCs w:val="18"/>
              </w:rPr>
              <w:t>了解软件安全开发方法</w:t>
            </w:r>
          </w:p>
          <w:p>
            <w:pPr>
              <w:spacing w:line="288" w:lineRule="auto"/>
              <w:rPr>
                <w:rFonts w:ascii="宋体" w:hAnsi="宋体" w:eastAsia="宋体" w:cs="宋体"/>
                <w:sz w:val="18"/>
                <w:szCs w:val="18"/>
              </w:rPr>
            </w:pPr>
            <w:r>
              <w:rPr>
                <w:rFonts w:hint="eastAsia" w:ascii="宋体" w:hAnsi="宋体" w:eastAsia="宋体" w:cs="宋体"/>
                <w:sz w:val="18"/>
                <w:szCs w:val="18"/>
              </w:rPr>
              <w:t>了解软件安全开发风险管理、信息系统安全工程、CC标准等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adjustRightInd w:val="0"/>
              <w:snapToGrid w:val="0"/>
              <w:spacing w:line="288" w:lineRule="auto"/>
              <w:ind w:firstLine="0" w:firstLineChars="0"/>
              <w:jc w:val="center"/>
              <w:rPr>
                <w:rFonts w:ascii="宋体" w:hAnsi="宋体" w:cs="宋体"/>
                <w:sz w:val="18"/>
                <w:szCs w:val="18"/>
              </w:rPr>
            </w:pPr>
            <w:r>
              <w:rPr>
                <w:rFonts w:hint="eastAsia" w:ascii="宋体" w:hAnsi="宋体" w:cs="宋体"/>
                <w:sz w:val="18"/>
                <w:szCs w:val="18"/>
              </w:rPr>
              <w:t>2</w:t>
            </w:r>
          </w:p>
        </w:tc>
        <w:tc>
          <w:tcPr>
            <w:tcW w:w="1654" w:type="dxa"/>
            <w:vAlign w:val="center"/>
          </w:tcPr>
          <w:p>
            <w:pPr>
              <w:spacing w:line="288" w:lineRule="auto"/>
              <w:rPr>
                <w:rFonts w:ascii="宋体" w:hAnsi="宋体" w:eastAsia="宋体" w:cs="宋体"/>
                <w:sz w:val="18"/>
                <w:szCs w:val="18"/>
              </w:rPr>
            </w:pPr>
            <w:r>
              <w:rPr>
                <w:rFonts w:hint="eastAsia" w:ascii="宋体" w:hAnsi="宋体" w:eastAsia="宋体" w:cs="宋体"/>
                <w:sz w:val="18"/>
                <w:szCs w:val="18"/>
              </w:rPr>
              <w:t>软件安全需求分析</w:t>
            </w:r>
          </w:p>
          <w:p>
            <w:pPr>
              <w:spacing w:line="288" w:lineRule="auto"/>
              <w:rPr>
                <w:rFonts w:ascii="宋体" w:hAnsi="宋体" w:eastAsia="宋体" w:cs="宋体"/>
                <w:sz w:val="18"/>
                <w:szCs w:val="18"/>
              </w:rPr>
            </w:pPr>
          </w:p>
        </w:tc>
        <w:tc>
          <w:tcPr>
            <w:tcW w:w="6463"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了解软件安全需求的定义和分类、安全需求工程</w:t>
            </w:r>
          </w:p>
          <w:p>
            <w:pPr>
              <w:pStyle w:val="60"/>
              <w:spacing w:line="288" w:lineRule="auto"/>
              <w:ind w:firstLine="0" w:firstLineChars="0"/>
              <w:rPr>
                <w:rFonts w:ascii="宋体" w:hAnsi="宋体" w:cs="宋体"/>
                <w:sz w:val="18"/>
                <w:szCs w:val="18"/>
              </w:rPr>
            </w:pPr>
            <w:r>
              <w:rPr>
                <w:rFonts w:hint="eastAsia" w:ascii="宋体" w:hAnsi="宋体" w:cs="宋体"/>
                <w:sz w:val="18"/>
                <w:szCs w:val="18"/>
              </w:rPr>
              <w:t>熟练掌握安全需求分析方法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adjustRightInd w:val="0"/>
              <w:snapToGrid w:val="0"/>
              <w:spacing w:line="288" w:lineRule="auto"/>
              <w:ind w:firstLine="0" w:firstLineChars="0"/>
              <w:jc w:val="center"/>
              <w:rPr>
                <w:rFonts w:ascii="宋体" w:hAnsi="宋体" w:cs="宋体"/>
                <w:sz w:val="18"/>
                <w:szCs w:val="18"/>
              </w:rPr>
            </w:pPr>
            <w:r>
              <w:rPr>
                <w:rFonts w:hint="eastAsia" w:ascii="宋体" w:hAnsi="宋体" w:cs="宋体"/>
                <w:sz w:val="18"/>
                <w:szCs w:val="18"/>
              </w:rPr>
              <w:t>3</w:t>
            </w:r>
          </w:p>
        </w:tc>
        <w:tc>
          <w:tcPr>
            <w:tcW w:w="1654" w:type="dxa"/>
            <w:vAlign w:val="center"/>
          </w:tcPr>
          <w:p>
            <w:pPr>
              <w:spacing w:line="288" w:lineRule="auto"/>
              <w:rPr>
                <w:rFonts w:ascii="宋体" w:hAnsi="宋体" w:eastAsia="宋体" w:cs="宋体"/>
                <w:sz w:val="18"/>
                <w:szCs w:val="18"/>
              </w:rPr>
            </w:pPr>
            <w:r>
              <w:rPr>
                <w:rFonts w:hint="eastAsia" w:ascii="宋体" w:hAnsi="宋体" w:eastAsia="宋体" w:cs="宋体"/>
                <w:sz w:val="18"/>
                <w:szCs w:val="18"/>
              </w:rPr>
              <w:t>软件安全设计</w:t>
            </w:r>
          </w:p>
        </w:tc>
        <w:tc>
          <w:tcPr>
            <w:tcW w:w="6463" w:type="dxa"/>
            <w:vAlign w:val="center"/>
          </w:tcPr>
          <w:p>
            <w:pPr>
              <w:spacing w:line="288" w:lineRule="auto"/>
              <w:rPr>
                <w:rFonts w:ascii="宋体" w:hAnsi="宋体" w:eastAsia="宋体" w:cs="宋体"/>
                <w:sz w:val="18"/>
                <w:szCs w:val="18"/>
              </w:rPr>
            </w:pPr>
            <w:r>
              <w:rPr>
                <w:rFonts w:hint="eastAsia" w:ascii="宋体" w:hAnsi="宋体" w:eastAsia="宋体" w:cs="宋体"/>
                <w:sz w:val="18"/>
                <w:szCs w:val="18"/>
              </w:rPr>
              <w:t>了解软件设计主要工作</w:t>
            </w:r>
          </w:p>
          <w:p>
            <w:pPr>
              <w:spacing w:line="288" w:lineRule="auto"/>
              <w:rPr>
                <w:rFonts w:ascii="宋体" w:hAnsi="宋体" w:eastAsia="宋体" w:cs="宋体"/>
                <w:sz w:val="18"/>
                <w:szCs w:val="18"/>
              </w:rPr>
            </w:pPr>
            <w:r>
              <w:rPr>
                <w:rFonts w:hint="eastAsia" w:ascii="宋体" w:hAnsi="宋体" w:eastAsia="宋体" w:cs="宋体"/>
                <w:sz w:val="18"/>
                <w:szCs w:val="18"/>
              </w:rPr>
              <w:t>熟悉软件安全设计原则和减少受攻击面知识</w:t>
            </w:r>
          </w:p>
          <w:p>
            <w:pPr>
              <w:spacing w:line="288" w:lineRule="auto"/>
              <w:rPr>
                <w:rFonts w:ascii="宋体" w:hAnsi="宋体" w:eastAsia="宋体" w:cs="宋体"/>
                <w:sz w:val="18"/>
                <w:szCs w:val="18"/>
              </w:rPr>
            </w:pPr>
            <w:r>
              <w:rPr>
                <w:rFonts w:hint="eastAsia" w:ascii="宋体" w:hAnsi="宋体" w:eastAsia="宋体" w:cs="宋体"/>
                <w:sz w:val="18"/>
                <w:szCs w:val="18"/>
              </w:rPr>
              <w:t>掌握软件安全设计方法</w:t>
            </w:r>
          </w:p>
          <w:p>
            <w:pPr>
              <w:spacing w:line="288" w:lineRule="auto"/>
              <w:rPr>
                <w:rFonts w:ascii="宋体" w:hAnsi="宋体" w:eastAsia="宋体" w:cs="宋体"/>
                <w:sz w:val="18"/>
                <w:szCs w:val="18"/>
              </w:rPr>
            </w:pPr>
            <w:r>
              <w:rPr>
                <w:rFonts w:hint="eastAsia" w:ascii="宋体" w:hAnsi="宋体" w:eastAsia="宋体" w:cs="宋体"/>
                <w:sz w:val="18"/>
                <w:szCs w:val="18"/>
              </w:rPr>
              <w:t>掌握软件架构安全性分析方法</w:t>
            </w:r>
          </w:p>
          <w:p>
            <w:pPr>
              <w:spacing w:line="288" w:lineRule="auto"/>
              <w:rPr>
                <w:rFonts w:ascii="宋体" w:hAnsi="宋体" w:eastAsia="宋体" w:cs="宋体"/>
                <w:sz w:val="18"/>
                <w:szCs w:val="18"/>
              </w:rPr>
            </w:pPr>
            <w:r>
              <w:rPr>
                <w:rFonts w:hint="eastAsia" w:ascii="宋体" w:hAnsi="宋体" w:eastAsia="宋体" w:cs="宋体"/>
                <w:sz w:val="18"/>
                <w:szCs w:val="18"/>
              </w:rPr>
              <w:t>熟练掌握威胁建模知识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adjustRightInd w:val="0"/>
              <w:snapToGrid w:val="0"/>
              <w:spacing w:line="288" w:lineRule="auto"/>
              <w:ind w:firstLine="0" w:firstLineChars="0"/>
              <w:jc w:val="center"/>
              <w:rPr>
                <w:rFonts w:ascii="宋体" w:hAnsi="宋体" w:cs="宋体"/>
                <w:sz w:val="18"/>
                <w:szCs w:val="18"/>
              </w:rPr>
            </w:pPr>
            <w:r>
              <w:rPr>
                <w:rFonts w:hint="eastAsia" w:ascii="宋体" w:hAnsi="宋体" w:cs="宋体"/>
                <w:sz w:val="18"/>
                <w:szCs w:val="18"/>
              </w:rPr>
              <w:t>4</w:t>
            </w:r>
          </w:p>
        </w:tc>
        <w:tc>
          <w:tcPr>
            <w:tcW w:w="1654" w:type="dxa"/>
            <w:vAlign w:val="center"/>
          </w:tcPr>
          <w:p>
            <w:pPr>
              <w:spacing w:line="288" w:lineRule="auto"/>
              <w:rPr>
                <w:rFonts w:ascii="宋体" w:hAnsi="宋体" w:eastAsia="宋体" w:cs="宋体"/>
                <w:sz w:val="18"/>
                <w:szCs w:val="18"/>
              </w:rPr>
            </w:pPr>
            <w:r>
              <w:rPr>
                <w:rFonts w:hint="eastAsia" w:ascii="宋体" w:hAnsi="宋体" w:eastAsia="宋体" w:cs="宋体"/>
                <w:sz w:val="18"/>
                <w:szCs w:val="18"/>
              </w:rPr>
              <w:t>安全编码</w:t>
            </w:r>
          </w:p>
        </w:tc>
        <w:tc>
          <w:tcPr>
            <w:tcW w:w="6463" w:type="dxa"/>
            <w:vAlign w:val="center"/>
          </w:tcPr>
          <w:p>
            <w:pPr>
              <w:pStyle w:val="25"/>
              <w:shd w:val="clear" w:color="auto" w:fill="FFFFFF"/>
              <w:spacing w:before="0" w:beforeAutospacing="0" w:after="0" w:afterAutospacing="0" w:line="288" w:lineRule="auto"/>
              <w:jc w:val="both"/>
              <w:rPr>
                <w:sz w:val="18"/>
                <w:szCs w:val="18"/>
              </w:rPr>
            </w:pPr>
            <w:r>
              <w:rPr>
                <w:rFonts w:hint="eastAsia"/>
                <w:sz w:val="18"/>
                <w:szCs w:val="18"/>
              </w:rPr>
              <w:t>了解软件漏洞含义及分类</w:t>
            </w:r>
          </w:p>
          <w:p>
            <w:pPr>
              <w:pStyle w:val="25"/>
              <w:shd w:val="clear" w:color="auto" w:fill="FFFFFF"/>
              <w:spacing w:before="0" w:beforeAutospacing="0" w:after="0" w:afterAutospacing="0" w:line="288" w:lineRule="auto"/>
              <w:jc w:val="both"/>
              <w:rPr>
                <w:sz w:val="18"/>
                <w:szCs w:val="18"/>
              </w:rPr>
            </w:pPr>
            <w:r>
              <w:rPr>
                <w:rFonts w:hint="eastAsia"/>
                <w:sz w:val="18"/>
                <w:szCs w:val="18"/>
              </w:rPr>
              <w:t>掌握软件安全编码原则和安全编程基础知识</w:t>
            </w:r>
          </w:p>
          <w:p>
            <w:pPr>
              <w:pStyle w:val="25"/>
              <w:shd w:val="clear" w:color="auto" w:fill="FFFFFF"/>
              <w:spacing w:before="0" w:beforeAutospacing="0" w:after="0" w:afterAutospacing="0" w:line="288" w:lineRule="auto"/>
              <w:jc w:val="both"/>
              <w:rPr>
                <w:sz w:val="18"/>
                <w:szCs w:val="18"/>
              </w:rPr>
            </w:pPr>
            <w:r>
              <w:rPr>
                <w:rFonts w:hint="eastAsia"/>
                <w:sz w:val="18"/>
                <w:szCs w:val="18"/>
              </w:rPr>
              <w:t>掌握Web应用安全编程方法</w:t>
            </w:r>
          </w:p>
          <w:p>
            <w:pPr>
              <w:pStyle w:val="25"/>
              <w:shd w:val="clear" w:color="auto" w:fill="FFFFFF"/>
              <w:spacing w:before="0" w:beforeAutospacing="0" w:after="0" w:afterAutospacing="0" w:line="288" w:lineRule="auto"/>
              <w:jc w:val="both"/>
              <w:rPr>
                <w:sz w:val="18"/>
                <w:szCs w:val="18"/>
              </w:rPr>
            </w:pPr>
            <w:r>
              <w:rPr>
                <w:rFonts w:hint="eastAsia"/>
                <w:sz w:val="18"/>
                <w:szCs w:val="18"/>
              </w:rPr>
              <w:t>掌握数据安全编码知识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adjustRightInd w:val="0"/>
              <w:snapToGrid w:val="0"/>
              <w:spacing w:line="288" w:lineRule="auto"/>
              <w:ind w:firstLine="0" w:firstLineChars="0"/>
              <w:jc w:val="center"/>
              <w:rPr>
                <w:rFonts w:ascii="宋体" w:hAnsi="宋体" w:cs="宋体"/>
                <w:sz w:val="18"/>
                <w:szCs w:val="18"/>
              </w:rPr>
            </w:pPr>
            <w:r>
              <w:rPr>
                <w:rFonts w:hint="eastAsia" w:ascii="宋体" w:hAnsi="宋体" w:cs="宋体"/>
                <w:sz w:val="18"/>
                <w:szCs w:val="18"/>
              </w:rPr>
              <w:t>5</w:t>
            </w:r>
          </w:p>
        </w:tc>
        <w:tc>
          <w:tcPr>
            <w:tcW w:w="1654" w:type="dxa"/>
            <w:vAlign w:val="center"/>
          </w:tcPr>
          <w:p>
            <w:pPr>
              <w:pStyle w:val="25"/>
              <w:shd w:val="clear" w:color="auto" w:fill="FFFFFF"/>
              <w:spacing w:before="0" w:beforeAutospacing="0" w:after="0" w:afterAutospacing="0" w:line="288" w:lineRule="auto"/>
              <w:jc w:val="both"/>
              <w:rPr>
                <w:sz w:val="18"/>
                <w:szCs w:val="18"/>
              </w:rPr>
            </w:pPr>
            <w:r>
              <w:rPr>
                <w:rFonts w:hint="eastAsia"/>
                <w:sz w:val="18"/>
                <w:szCs w:val="18"/>
              </w:rPr>
              <w:t>软件安全测试</w:t>
            </w:r>
          </w:p>
        </w:tc>
        <w:tc>
          <w:tcPr>
            <w:tcW w:w="6463" w:type="dxa"/>
            <w:vAlign w:val="center"/>
          </w:tcPr>
          <w:p>
            <w:pPr>
              <w:pStyle w:val="25"/>
              <w:shd w:val="clear" w:color="auto" w:fill="FFFFFF"/>
              <w:spacing w:before="0" w:beforeAutospacing="0" w:after="0" w:afterAutospacing="0" w:line="288" w:lineRule="auto"/>
              <w:jc w:val="both"/>
              <w:rPr>
                <w:sz w:val="18"/>
                <w:szCs w:val="18"/>
              </w:rPr>
            </w:pPr>
            <w:r>
              <w:rPr>
                <w:rFonts w:hint="eastAsia"/>
                <w:sz w:val="18"/>
                <w:szCs w:val="18"/>
              </w:rPr>
              <w:t>掌握软件安全测试基础知识</w:t>
            </w:r>
          </w:p>
          <w:p>
            <w:pPr>
              <w:pStyle w:val="25"/>
              <w:shd w:val="clear" w:color="auto" w:fill="FFFFFF"/>
              <w:spacing w:before="0" w:beforeAutospacing="0" w:after="0" w:afterAutospacing="0" w:line="288" w:lineRule="auto"/>
              <w:jc w:val="both"/>
              <w:rPr>
                <w:sz w:val="18"/>
                <w:szCs w:val="18"/>
              </w:rPr>
            </w:pPr>
            <w:r>
              <w:rPr>
                <w:rFonts w:hint="eastAsia"/>
                <w:sz w:val="18"/>
                <w:szCs w:val="18"/>
              </w:rPr>
              <w:t>熟练掌握代码分析知识</w:t>
            </w:r>
          </w:p>
          <w:p>
            <w:pPr>
              <w:pStyle w:val="25"/>
              <w:shd w:val="clear" w:color="auto" w:fill="FFFFFF"/>
              <w:spacing w:before="0" w:beforeAutospacing="0" w:after="0" w:afterAutospacing="0" w:line="288" w:lineRule="auto"/>
              <w:jc w:val="both"/>
              <w:rPr>
                <w:sz w:val="18"/>
                <w:szCs w:val="18"/>
              </w:rPr>
            </w:pPr>
            <w:r>
              <w:rPr>
                <w:rFonts w:hint="eastAsia"/>
                <w:sz w:val="18"/>
                <w:szCs w:val="18"/>
              </w:rPr>
              <w:t>熟练掌握模糊测试和渗透测试知识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60"/>
              <w:adjustRightInd w:val="0"/>
              <w:snapToGrid w:val="0"/>
              <w:spacing w:line="288" w:lineRule="auto"/>
              <w:ind w:firstLine="0" w:firstLineChars="0"/>
              <w:jc w:val="center"/>
              <w:rPr>
                <w:rFonts w:ascii="宋体" w:hAnsi="宋体" w:cs="宋体"/>
                <w:sz w:val="18"/>
                <w:szCs w:val="18"/>
              </w:rPr>
            </w:pPr>
            <w:r>
              <w:rPr>
                <w:rFonts w:hint="eastAsia" w:ascii="宋体" w:hAnsi="宋体" w:cs="宋体"/>
                <w:sz w:val="18"/>
                <w:szCs w:val="18"/>
              </w:rPr>
              <w:t>6</w:t>
            </w:r>
          </w:p>
        </w:tc>
        <w:tc>
          <w:tcPr>
            <w:tcW w:w="1654" w:type="dxa"/>
            <w:vAlign w:val="center"/>
          </w:tcPr>
          <w:p>
            <w:pPr>
              <w:pStyle w:val="25"/>
              <w:shd w:val="clear" w:color="auto" w:fill="FFFFFF"/>
              <w:spacing w:before="0" w:beforeAutospacing="0" w:after="0" w:afterAutospacing="0" w:line="288" w:lineRule="auto"/>
              <w:jc w:val="both"/>
              <w:rPr>
                <w:sz w:val="18"/>
                <w:szCs w:val="18"/>
              </w:rPr>
            </w:pPr>
            <w:r>
              <w:rPr>
                <w:rFonts w:hint="eastAsia"/>
                <w:sz w:val="18"/>
                <w:szCs w:val="18"/>
              </w:rPr>
              <w:t>软件部署和项目管理安全</w:t>
            </w:r>
          </w:p>
        </w:tc>
        <w:tc>
          <w:tcPr>
            <w:tcW w:w="6463" w:type="dxa"/>
            <w:vAlign w:val="center"/>
          </w:tcPr>
          <w:p>
            <w:pPr>
              <w:pStyle w:val="25"/>
              <w:shd w:val="clear" w:color="auto" w:fill="FFFFFF"/>
              <w:spacing w:before="0" w:beforeAutospacing="0" w:after="0" w:afterAutospacing="0" w:line="288" w:lineRule="auto"/>
              <w:jc w:val="both"/>
              <w:rPr>
                <w:sz w:val="18"/>
                <w:szCs w:val="18"/>
              </w:rPr>
            </w:pPr>
            <w:r>
              <w:rPr>
                <w:rFonts w:hint="eastAsia"/>
                <w:sz w:val="18"/>
                <w:szCs w:val="18"/>
              </w:rPr>
              <w:t>掌握软件部署安全知识</w:t>
            </w:r>
          </w:p>
          <w:p>
            <w:pPr>
              <w:pStyle w:val="25"/>
              <w:shd w:val="clear" w:color="auto" w:fill="FFFFFF"/>
              <w:spacing w:before="0" w:beforeAutospacing="0" w:after="0" w:afterAutospacing="0" w:line="288" w:lineRule="auto"/>
              <w:jc w:val="both"/>
              <w:rPr>
                <w:sz w:val="18"/>
                <w:szCs w:val="18"/>
              </w:rPr>
            </w:pPr>
            <w:r>
              <w:rPr>
                <w:rFonts w:hint="eastAsia"/>
                <w:sz w:val="18"/>
                <w:szCs w:val="18"/>
              </w:rPr>
              <w:t>掌握软件项目管理安全知识</w:t>
            </w:r>
          </w:p>
          <w:p>
            <w:pPr>
              <w:pStyle w:val="25"/>
              <w:shd w:val="clear" w:color="auto" w:fill="FFFFFF"/>
              <w:spacing w:before="0" w:beforeAutospacing="0" w:after="0" w:afterAutospacing="0" w:line="288" w:lineRule="auto"/>
              <w:jc w:val="both"/>
              <w:rPr>
                <w:sz w:val="18"/>
                <w:szCs w:val="18"/>
              </w:rPr>
            </w:pPr>
            <w:r>
              <w:rPr>
                <w:rFonts w:hint="eastAsia"/>
                <w:sz w:val="18"/>
                <w:szCs w:val="18"/>
              </w:rPr>
              <w:t>了解软件安全编码规范检查列表、安全测试工具、测试文档模板等</w:t>
            </w:r>
          </w:p>
        </w:tc>
      </w:tr>
    </w:tbl>
    <w:p>
      <w:pPr>
        <w:pStyle w:val="60"/>
        <w:adjustRightInd w:val="0"/>
        <w:snapToGrid w:val="0"/>
        <w:ind w:left="380" w:firstLine="0" w:firstLineChars="0"/>
        <w:rPr>
          <w:rFonts w:ascii="黑体" w:hAnsi="黑体" w:eastAsia="黑体" w:cs="黑体"/>
          <w:color w:val="000000"/>
          <w:sz w:val="18"/>
          <w:szCs w:val="18"/>
        </w:rPr>
      </w:pPr>
    </w:p>
    <w:p/>
    <w:p>
      <w:pPr>
        <w:rPr>
          <w:rFonts w:ascii="黑体" w:hAnsi="黑体" w:eastAsia="黑体" w:cs="黑体"/>
          <w:szCs w:val="21"/>
        </w:rPr>
      </w:pPr>
      <w:r>
        <w:rPr>
          <w:rFonts w:ascii="黑体" w:hAnsi="黑体" w:eastAsia="黑体" w:cs="黑体"/>
          <w:szCs w:val="21"/>
        </w:rPr>
        <w:br w:type="page"/>
      </w:r>
    </w:p>
    <w:p>
      <w:pPr>
        <w:widowControl/>
        <w:jc w:val="center"/>
        <w:rPr>
          <w:rFonts w:ascii="黑体" w:hAnsi="黑体" w:eastAsia="黑体" w:cs="黑体"/>
          <w:szCs w:val="21"/>
        </w:rPr>
      </w:pPr>
    </w:p>
    <w:p>
      <w:pPr>
        <w:widowControl/>
        <w:jc w:val="center"/>
        <w:rPr>
          <w:rFonts w:ascii="黑体" w:hAnsi="黑体" w:eastAsia="黑体" w:cs="黑体"/>
          <w:szCs w:val="21"/>
        </w:rPr>
      </w:pPr>
    </w:p>
    <w:p>
      <w:pPr>
        <w:widowControl/>
        <w:jc w:val="center"/>
        <w:outlineLvl w:val="0"/>
        <w:rPr>
          <w:rFonts w:ascii="黑体" w:hAnsi="黑体" w:eastAsia="黑体" w:cs="黑体"/>
          <w:szCs w:val="21"/>
        </w:rPr>
      </w:pPr>
      <w:bookmarkStart w:id="106" w:name="_Toc30842"/>
      <w:r>
        <w:rPr>
          <w:rFonts w:hint="eastAsia" w:ascii="黑体" w:hAnsi="黑体" w:eastAsia="黑体" w:cs="黑体"/>
          <w:szCs w:val="21"/>
        </w:rPr>
        <w:t>附 录G</w:t>
      </w:r>
      <w:bookmarkEnd w:id="106"/>
    </w:p>
    <w:p>
      <w:pPr>
        <w:spacing w:line="360" w:lineRule="auto"/>
        <w:jc w:val="center"/>
        <w:outlineLvl w:val="0"/>
        <w:rPr>
          <w:rFonts w:ascii="黑体" w:hAnsi="黑体" w:eastAsia="黑体" w:cs="黑体"/>
          <w:szCs w:val="21"/>
        </w:rPr>
      </w:pPr>
      <w:bookmarkStart w:id="107" w:name="_Toc12140"/>
      <w:bookmarkStart w:id="108" w:name="_Toc31409"/>
      <w:bookmarkStart w:id="109" w:name="_Toc17423"/>
      <w:r>
        <w:rPr>
          <w:rFonts w:hint="eastAsia" w:ascii="黑体" w:hAnsi="黑体" w:eastAsia="黑体" w:cs="黑体"/>
          <w:szCs w:val="21"/>
        </w:rPr>
        <w:t>（规范性）</w:t>
      </w:r>
      <w:bookmarkEnd w:id="107"/>
      <w:bookmarkEnd w:id="108"/>
      <w:bookmarkEnd w:id="109"/>
    </w:p>
    <w:p>
      <w:pPr>
        <w:spacing w:after="283" w:line="360" w:lineRule="auto"/>
        <w:jc w:val="center"/>
        <w:outlineLvl w:val="0"/>
        <w:rPr>
          <w:szCs w:val="21"/>
        </w:rPr>
      </w:pPr>
      <w:bookmarkStart w:id="110" w:name="_Toc23680"/>
      <w:bookmarkStart w:id="111" w:name="_Toc814"/>
      <w:bookmarkStart w:id="112" w:name="_Toc7496"/>
      <w:r>
        <w:rPr>
          <w:rFonts w:hint="eastAsia" w:ascii="黑体" w:hAnsi="黑体" w:eastAsia="黑体" w:cs="黑体"/>
          <w:szCs w:val="21"/>
        </w:rPr>
        <w:t>网络安全风险评估考试大纲</w:t>
      </w:r>
      <w:bookmarkEnd w:id="110"/>
      <w:bookmarkEnd w:id="111"/>
      <w:bookmarkEnd w:id="112"/>
    </w:p>
    <w:p>
      <w:pPr>
        <w:pStyle w:val="58"/>
        <w:spacing w:line="360" w:lineRule="auto"/>
        <w:ind w:firstLine="0" w:firstLineChars="0"/>
        <w:rPr>
          <w:b/>
          <w:bCs/>
        </w:rPr>
      </w:pPr>
      <w:r>
        <w:rPr>
          <w:rFonts w:hint="eastAsia" w:ascii="黑体" w:hAnsi="黑体" w:eastAsia="黑体" w:cs="黑体"/>
        </w:rPr>
        <w:t>G.1 目的</w:t>
      </w:r>
    </w:p>
    <w:p>
      <w:pPr>
        <w:pStyle w:val="36"/>
        <w:spacing w:line="360" w:lineRule="auto"/>
        <w:rPr>
          <w:kern w:val="0"/>
        </w:rPr>
      </w:pPr>
      <w:r>
        <w:rPr>
          <w:kern w:val="0"/>
        </w:rPr>
        <w:t>为使考生</w:t>
      </w:r>
      <w:r>
        <w:rPr>
          <w:rFonts w:hint="eastAsia"/>
          <w:kern w:val="0"/>
        </w:rPr>
        <w:t>达到本认证规范中网络空间安全专业人员在网络安全风险评估方向二级、三级能力要求，</w:t>
      </w:r>
      <w:r>
        <w:rPr>
          <w:kern w:val="0"/>
        </w:rPr>
        <w:t>指导考生有效准备考试，特制定本考试大纲</w:t>
      </w:r>
      <w:r>
        <w:rPr>
          <w:rFonts w:hint="eastAsia"/>
          <w:kern w:val="0"/>
        </w:rPr>
        <w:t>（</w:t>
      </w:r>
      <w:r>
        <w:rPr>
          <w:kern w:val="0"/>
        </w:rPr>
        <w:t>以下简称大纲</w:t>
      </w:r>
      <w:r>
        <w:rPr>
          <w:rFonts w:hint="eastAsia"/>
          <w:kern w:val="0"/>
        </w:rPr>
        <w:t>）。</w:t>
      </w:r>
    </w:p>
    <w:p>
      <w:pPr>
        <w:pStyle w:val="60"/>
        <w:spacing w:line="360" w:lineRule="auto"/>
        <w:ind w:firstLine="0" w:firstLineChars="0"/>
        <w:rPr>
          <w:rFonts w:ascii="黑体" w:hAnsi="黑体" w:eastAsia="黑体" w:cs="黑体"/>
        </w:rPr>
      </w:pPr>
      <w:r>
        <w:rPr>
          <w:rFonts w:hint="eastAsia" w:ascii="黑体" w:hAnsi="黑体" w:eastAsia="黑体" w:cs="黑体"/>
        </w:rPr>
        <w:t>G.2 考试内容</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G.2.1专业课程要求</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表G.1课程要求</w:t>
      </w:r>
    </w:p>
    <w:tbl>
      <w:tblPr>
        <w:tblStyle w:val="28"/>
        <w:tblW w:w="930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2"/>
        <w:gridCol w:w="269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2694"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22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网络安全风险管理人员基本素质</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网络安全风险管理意识教育</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网络安全法律法规体系</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网络安全风险管理基础</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网络安全风险管理基础（H级）</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网络安全风险管理基础（HH级）</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kern w:val="0"/>
                <w:sz w:val="18"/>
                <w:szCs w:val="18"/>
              </w:rPr>
              <w:t>信息安全风险评估实施方法</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382" w:type="dxa"/>
            <w:vAlign w:val="center"/>
          </w:tcPr>
          <w:p>
            <w:pPr>
              <w:pStyle w:val="58"/>
              <w:ind w:firstLine="0" w:firstLineChars="0"/>
              <w:jc w:val="center"/>
              <w:rPr>
                <w:rFonts w:ascii="宋体" w:hAnsi="宋体" w:cs="宋体"/>
                <w:kern w:val="0"/>
                <w:sz w:val="18"/>
                <w:szCs w:val="18"/>
              </w:rPr>
            </w:pPr>
            <w:r>
              <w:rPr>
                <w:rFonts w:hint="eastAsia"/>
                <w:kern w:val="0"/>
                <w:sz w:val="18"/>
                <w:szCs w:val="18"/>
              </w:rPr>
              <w:t>信息安全风险评估案例分析</w:t>
            </w:r>
          </w:p>
        </w:tc>
        <w:tc>
          <w:tcPr>
            <w:tcW w:w="2694"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22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spacing w:before="158" w:beforeLines="50" w:line="360" w:lineRule="auto"/>
        <w:ind w:firstLine="0" w:firstLineChars="0"/>
        <w:rPr>
          <w:rFonts w:ascii="黑体" w:hAnsi="黑体" w:eastAsia="黑体" w:cs="黑体"/>
        </w:rPr>
      </w:pPr>
      <w:r>
        <w:rPr>
          <w:rFonts w:hint="eastAsia" w:ascii="黑体" w:hAnsi="黑体" w:eastAsia="黑体" w:cs="黑体"/>
        </w:rPr>
        <w:t>G.3 各课程知识点要求</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G.3.1 网络安全风险管理基础</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表G.2 网络安全风险管理基础课程内容与要求</w:t>
      </w:r>
    </w:p>
    <w:tbl>
      <w:tblPr>
        <w:tblStyle w:val="28"/>
        <w:tblW w:w="93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305"/>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0"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0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036"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0"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0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职业素养</w:t>
            </w:r>
          </w:p>
        </w:tc>
        <w:tc>
          <w:tcPr>
            <w:tcW w:w="6036"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了解从事网络安全风险管理工作必备的职业素养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0"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0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知识结构</w:t>
            </w:r>
          </w:p>
        </w:tc>
        <w:tc>
          <w:tcPr>
            <w:tcW w:w="6036"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理解从事网络安全风险管理工作的基础知识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0"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0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工作技能</w:t>
            </w:r>
          </w:p>
        </w:tc>
        <w:tc>
          <w:tcPr>
            <w:tcW w:w="6036"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理解从事网络安全风险管理工作的基础技能</w:t>
            </w:r>
          </w:p>
        </w:tc>
      </w:tr>
    </w:tbl>
    <w:p>
      <w:pPr>
        <w:pStyle w:val="58"/>
        <w:ind w:left="380" w:firstLine="0" w:firstLineChars="0"/>
        <w:jc w:val="center"/>
      </w:pPr>
    </w:p>
    <w:p>
      <w:pPr>
        <w:pStyle w:val="36"/>
        <w:spacing w:after="158" w:afterLines="50"/>
        <w:ind w:left="378" w:hanging="378" w:hangingChars="180"/>
        <w:rPr>
          <w:rFonts w:ascii="黑体" w:hAnsi="黑体" w:eastAsia="黑体" w:cs="黑体"/>
        </w:rPr>
      </w:pPr>
      <w:r>
        <w:rPr>
          <w:rFonts w:hint="eastAsia" w:ascii="黑体" w:hAnsi="黑体" w:eastAsia="黑体" w:cs="黑体"/>
        </w:rPr>
        <w:t>G.3.2 信息安全风险评估的基础理念</w:t>
      </w:r>
    </w:p>
    <w:p>
      <w:pPr>
        <w:pStyle w:val="36"/>
        <w:spacing w:after="158" w:afterLines="50"/>
        <w:ind w:left="378" w:hanging="378" w:hangingChars="180"/>
        <w:rPr>
          <w:rFonts w:ascii="黑体" w:hAnsi="黑体" w:eastAsia="黑体" w:cs="黑体"/>
        </w:rPr>
      </w:pP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表G.3信息安全风险评估的基础理念课程内容与要求</w:t>
      </w:r>
    </w:p>
    <w:tbl>
      <w:tblPr>
        <w:tblStyle w:val="28"/>
        <w:tblW w:w="933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082"/>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082"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321"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30"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082"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信息安全风险评估的基本概念</w:t>
            </w:r>
          </w:p>
        </w:tc>
        <w:tc>
          <w:tcPr>
            <w:tcW w:w="6321"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风险评估的介绍、基本注意事项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0"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082"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信息安全风险评估相关标准</w:t>
            </w:r>
          </w:p>
        </w:tc>
        <w:tc>
          <w:tcPr>
            <w:tcW w:w="6321"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了解国际上通用的信息安全风险评估标准以及国内的风险评估标准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082"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信息安全风险评估的发展与现状</w:t>
            </w:r>
          </w:p>
        </w:tc>
        <w:tc>
          <w:tcPr>
            <w:tcW w:w="6321"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了解国内信息安全风险评估的发展、现状</w:t>
            </w:r>
          </w:p>
        </w:tc>
      </w:tr>
    </w:tbl>
    <w:p>
      <w:pPr>
        <w:pStyle w:val="60"/>
        <w:adjustRightInd w:val="0"/>
        <w:snapToGrid w:val="0"/>
        <w:spacing w:after="158" w:afterLines="50"/>
        <w:ind w:left="160" w:hanging="159" w:hangingChars="76"/>
        <w:rPr>
          <w:rFonts w:ascii="黑体" w:hAnsi="黑体" w:eastAsia="黑体" w:cs="黑体"/>
          <w:color w:val="000000"/>
        </w:rPr>
      </w:pPr>
    </w:p>
    <w:p>
      <w:pPr>
        <w:pStyle w:val="36"/>
        <w:adjustRightInd w:val="0"/>
        <w:snapToGrid w:val="0"/>
        <w:spacing w:after="158" w:afterLines="50"/>
        <w:ind w:left="580" w:hanging="579" w:hangingChars="276"/>
        <w:rPr>
          <w:rFonts w:ascii="黑体" w:hAnsi="黑体" w:eastAsia="黑体" w:cs="黑体"/>
        </w:rPr>
      </w:pPr>
      <w:r>
        <w:rPr>
          <w:rFonts w:hint="eastAsia" w:ascii="黑体" w:hAnsi="黑体" w:eastAsia="黑体" w:cs="黑体"/>
        </w:rPr>
        <w:t>G.3.3 信息安全风险评估框架及流程</w:t>
      </w:r>
    </w:p>
    <w:p>
      <w:pPr>
        <w:pStyle w:val="36"/>
        <w:adjustRightInd w:val="0"/>
        <w:snapToGrid w:val="0"/>
        <w:spacing w:after="158" w:afterLines="50"/>
        <w:ind w:left="580" w:hanging="579" w:hangingChars="276"/>
        <w:jc w:val="center"/>
        <w:rPr>
          <w:rFonts w:ascii="黑体" w:hAnsi="黑体" w:eastAsia="黑体" w:cs="黑体"/>
        </w:rPr>
      </w:pPr>
      <w:r>
        <w:rPr>
          <w:rFonts w:hint="eastAsia" w:ascii="黑体" w:hAnsi="黑体" w:eastAsia="黑体" w:cs="黑体"/>
        </w:rPr>
        <w:t>表G.4 信息安全风险评估框架及流程内容与要求</w:t>
      </w:r>
    </w:p>
    <w:tbl>
      <w:tblPr>
        <w:tblStyle w:val="2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964"/>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1964"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448"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964"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信息安全风险评估的主要内容</w:t>
            </w:r>
          </w:p>
        </w:tc>
        <w:tc>
          <w:tcPr>
            <w:tcW w:w="6448" w:type="dxa"/>
            <w:vAlign w:val="center"/>
          </w:tcPr>
          <w:p>
            <w:pPr>
              <w:spacing w:line="288" w:lineRule="auto"/>
              <w:jc w:val="center"/>
              <w:rPr>
                <w:rFonts w:ascii="宋体" w:hAnsi="宋体" w:eastAsia="宋体" w:cs="宋体"/>
                <w:kern w:val="0"/>
                <w:sz w:val="18"/>
                <w:szCs w:val="18"/>
              </w:rPr>
            </w:pPr>
            <w:r>
              <w:rPr>
                <w:rFonts w:hint="eastAsia" w:ascii="宋体" w:hAnsi="宋体" w:eastAsia="宋体" w:cs="宋体"/>
                <w:kern w:val="0"/>
                <w:sz w:val="18"/>
                <w:szCs w:val="18"/>
              </w:rPr>
              <w:t>掌握风险评估的依据、原则；风险评估基础模型、风险分析原理、风险评估方法介绍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964"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信息系统生命周期各阶段的风险评估</w:t>
            </w:r>
          </w:p>
        </w:tc>
        <w:tc>
          <w:tcPr>
            <w:tcW w:w="6448"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掌握信息系统规划、设计、实施、运维、废弃阶段的信息安全风险评估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1964"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风险评估管理工具及评估工具介绍</w:t>
            </w:r>
          </w:p>
        </w:tc>
        <w:tc>
          <w:tcPr>
            <w:tcW w:w="6448"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掌握风险评估管理工具（MBSA、COBRA）、评估工具（极光远程安全评估系统、天镜脆弱性扫描与管理系统、KALH渗透测试工具）使用方法</w:t>
            </w:r>
          </w:p>
        </w:tc>
      </w:tr>
    </w:tbl>
    <w:p>
      <w:pPr>
        <w:pStyle w:val="36"/>
        <w:ind w:left="380" w:firstLine="0" w:firstLineChars="0"/>
        <w:rPr>
          <w:rFonts w:ascii="宋体" w:hAnsi="宋体"/>
        </w:rPr>
      </w:pPr>
    </w:p>
    <w:p>
      <w:pPr>
        <w:pStyle w:val="36"/>
        <w:spacing w:after="158" w:afterLines="50"/>
        <w:ind w:left="378" w:hanging="378" w:hangingChars="180"/>
        <w:rPr>
          <w:rFonts w:ascii="黑体" w:hAnsi="黑体" w:eastAsia="黑体" w:cs="黑体"/>
        </w:rPr>
      </w:pPr>
      <w:r>
        <w:rPr>
          <w:rFonts w:hint="eastAsia" w:ascii="黑体" w:hAnsi="黑体" w:eastAsia="黑体" w:cs="黑体"/>
        </w:rPr>
        <w:t>G.3.4 信息安全风险评估实施方法</w:t>
      </w:r>
    </w:p>
    <w:p>
      <w:pPr>
        <w:pStyle w:val="36"/>
        <w:spacing w:after="158" w:afterLines="50"/>
        <w:ind w:left="378" w:hanging="378" w:hangingChars="180"/>
        <w:jc w:val="center"/>
        <w:rPr>
          <w:rFonts w:ascii="黑体" w:hAnsi="黑体" w:eastAsia="黑体" w:cs="黑体"/>
        </w:rPr>
      </w:pPr>
      <w:r>
        <w:rPr>
          <w:rFonts w:hint="eastAsia" w:ascii="黑体" w:hAnsi="黑体" w:eastAsia="黑体" w:cs="黑体"/>
        </w:rPr>
        <w:t>表G.4  信息安全风险评估实施方法内容与要求</w:t>
      </w:r>
    </w:p>
    <w:tbl>
      <w:tblPr>
        <w:tblStyle w:val="28"/>
        <w:tblW w:w="934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008"/>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章节号</w:t>
            </w:r>
          </w:p>
        </w:tc>
        <w:tc>
          <w:tcPr>
            <w:tcW w:w="2008"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章节名</w:t>
            </w:r>
          </w:p>
        </w:tc>
        <w:tc>
          <w:tcPr>
            <w:tcW w:w="6448"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00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信息安全风险实施1</w:t>
            </w:r>
          </w:p>
        </w:tc>
        <w:tc>
          <w:tcPr>
            <w:tcW w:w="6448"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资产识别（资产分类、资产赋值）、威胁识别（威胁分类、威胁赋值）、脆弱性识别（脆弱性识别、脆弱性赋值）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00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信息安全风险实施2</w:t>
            </w:r>
          </w:p>
        </w:tc>
        <w:tc>
          <w:tcPr>
            <w:tcW w:w="644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确认已有安全措施，对识别的风险进行分析，风险计算原理，风险结果判定，制定风险处置计划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00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信息安全风险报告编制</w:t>
            </w:r>
          </w:p>
        </w:tc>
        <w:tc>
          <w:tcPr>
            <w:tcW w:w="644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掌握风险评估记录方法，风险评估工作形式（自评估、检查评估），风险计算方法（矩阵法计算风险、相乘法计算风险）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00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风险评估辅助工具使用</w:t>
            </w:r>
          </w:p>
        </w:tc>
        <w:tc>
          <w:tcPr>
            <w:tcW w:w="6448" w:type="dxa"/>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风险评估资产调研表、人员访谈模板、基线检查模板、风险评估工作申请单、项目计划及会议纪要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91"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008"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风险评估脆弱性识别工具使用</w:t>
            </w:r>
          </w:p>
        </w:tc>
        <w:tc>
          <w:tcPr>
            <w:tcW w:w="6448" w:type="dxa"/>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掌握极光远程安全评估系统、天镜脆弱性扫描与管理系统、KALH渗透测试等工具使用方法</w:t>
            </w:r>
          </w:p>
        </w:tc>
      </w:tr>
    </w:tbl>
    <w:p>
      <w:pPr>
        <w:pStyle w:val="36"/>
        <w:ind w:left="380" w:firstLine="0" w:firstLineChars="0"/>
        <w:rPr>
          <w:rFonts w:ascii="宋体" w:hAnsi="宋体"/>
        </w:rPr>
      </w:pPr>
    </w:p>
    <w:p>
      <w:pPr>
        <w:pStyle w:val="60"/>
        <w:adjustRightInd w:val="0"/>
        <w:snapToGrid w:val="0"/>
        <w:spacing w:after="158" w:afterLines="50"/>
        <w:ind w:left="160" w:hanging="159" w:hangingChars="76"/>
        <w:rPr>
          <w:rFonts w:ascii="宋体" w:hAnsi="宋体"/>
          <w:color w:val="000000"/>
        </w:rPr>
      </w:pPr>
      <w:r>
        <w:rPr>
          <w:rFonts w:hint="eastAsia" w:ascii="黑体" w:hAnsi="黑体" w:eastAsia="黑体" w:cs="黑体"/>
        </w:rPr>
        <w:t xml:space="preserve">G.3.5 </w:t>
      </w:r>
      <w:r>
        <w:rPr>
          <w:rFonts w:hint="eastAsia" w:ascii="黑体" w:hAnsi="黑体" w:eastAsia="黑体" w:cs="黑体"/>
          <w:color w:val="000000"/>
        </w:rPr>
        <w:t>网络安全风险防范</w:t>
      </w:r>
    </w:p>
    <w:p>
      <w:pPr>
        <w:pStyle w:val="36"/>
        <w:spacing w:after="158" w:afterLines="50"/>
        <w:ind w:left="378" w:hanging="378" w:hangingChars="180"/>
        <w:jc w:val="center"/>
        <w:rPr>
          <w:rFonts w:ascii="黑体" w:hAnsi="黑体" w:eastAsia="黑体" w:cs="黑体"/>
        </w:rPr>
      </w:pPr>
      <w:r>
        <w:rPr>
          <w:rFonts w:hint="eastAsia" w:ascii="黑体" w:hAnsi="黑体" w:eastAsia="黑体" w:cs="黑体"/>
        </w:rPr>
        <w:t>表G.5</w:t>
      </w:r>
      <w:r>
        <w:rPr>
          <w:rFonts w:hint="eastAsia" w:ascii="黑体" w:hAnsi="黑体" w:eastAsia="黑体" w:cs="黑体"/>
          <w:color w:val="000000"/>
        </w:rPr>
        <w:t>网络安全风险防范内容与要求</w:t>
      </w:r>
    </w:p>
    <w:tbl>
      <w:tblPr>
        <w:tblStyle w:val="28"/>
        <w:tblW w:w="936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2" w:type="dxa"/>
            <w:vAlign w:val="center"/>
          </w:tcPr>
          <w:p>
            <w:pPr>
              <w:pStyle w:val="60"/>
              <w:adjustRightInd w:val="0"/>
              <w:snapToGrid w:val="0"/>
              <w:spacing w:line="288" w:lineRule="auto"/>
              <w:ind w:left="160" w:hanging="159" w:hangingChars="76"/>
              <w:jc w:val="center"/>
              <w:rPr>
                <w:rFonts w:ascii="黑体" w:hAnsi="黑体" w:eastAsia="黑体" w:cs="黑体"/>
                <w:color w:val="000000"/>
                <w:kern w:val="0"/>
              </w:rPr>
            </w:pPr>
            <w:r>
              <w:rPr>
                <w:rFonts w:hint="eastAsia" w:ascii="黑体" w:hAnsi="黑体" w:eastAsia="黑体" w:cs="黑体"/>
                <w:color w:val="000000"/>
                <w:kern w:val="0"/>
              </w:rPr>
              <w:t>章节号</w:t>
            </w:r>
          </w:p>
        </w:tc>
        <w:tc>
          <w:tcPr>
            <w:tcW w:w="2243" w:type="dxa"/>
            <w:vAlign w:val="center"/>
          </w:tcPr>
          <w:p>
            <w:pPr>
              <w:pStyle w:val="60"/>
              <w:spacing w:line="288" w:lineRule="auto"/>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章节名</w:t>
            </w:r>
          </w:p>
        </w:tc>
        <w:tc>
          <w:tcPr>
            <w:tcW w:w="6095" w:type="dxa"/>
            <w:vAlign w:val="center"/>
          </w:tcPr>
          <w:p>
            <w:pPr>
              <w:pStyle w:val="60"/>
              <w:spacing w:line="288" w:lineRule="auto"/>
              <w:ind w:firstLine="0" w:firstLineChars="0"/>
              <w:jc w:val="center"/>
              <w:rPr>
                <w:rFonts w:ascii="黑体" w:hAnsi="黑体" w:eastAsia="黑体" w:cs="黑体"/>
                <w:color w:val="000000"/>
                <w:kern w:val="0"/>
              </w:rPr>
            </w:pPr>
            <w:r>
              <w:rPr>
                <w:rFonts w:hint="eastAsia" w:ascii="黑体" w:hAnsi="黑体" w:eastAsia="黑体" w:cs="黑体"/>
                <w:color w:val="000000"/>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243"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信息系统安全风险说明</w:t>
            </w:r>
          </w:p>
        </w:tc>
        <w:tc>
          <w:tcPr>
            <w:tcW w:w="6095"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掌握信息系统的安全属性，安全风险要素，风险评估与控制模型。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243"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信息系统资源分布模型及基于信息资产的风险识别与分析</w:t>
            </w:r>
          </w:p>
        </w:tc>
        <w:tc>
          <w:tcPr>
            <w:tcW w:w="6095"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掌握信息网络安全风险识别过程，信息网络系统的威胁识别，信息系统的脆弱性识别，信息系统的风险分析。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243"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网络安全机制设计</w:t>
            </w:r>
          </w:p>
        </w:tc>
        <w:tc>
          <w:tcPr>
            <w:tcW w:w="6095"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掌握网络安全攻防，安全等设计方法。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2"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243"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网络安全访问控制策略设计</w:t>
            </w:r>
          </w:p>
        </w:tc>
        <w:tc>
          <w:tcPr>
            <w:tcW w:w="6095"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掌握网络安全访问控制策略的特点，理解当前网络安全访问控制策略的设计。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243"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网络云端安全设计</w:t>
            </w:r>
          </w:p>
        </w:tc>
        <w:tc>
          <w:tcPr>
            <w:tcW w:w="6095"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掌握网络安全云端安全机制，理解云计算云服务的安全策略设计。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6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243"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网络安全系统实现</w:t>
            </w:r>
          </w:p>
        </w:tc>
        <w:tc>
          <w:tcPr>
            <w:tcW w:w="6095" w:type="dxa"/>
            <w:vAlign w:val="center"/>
          </w:tcPr>
          <w:p>
            <w:pPr>
              <w:pStyle w:val="6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掌握网络安全系统设计流程，理解安全平台使用的各种安全机制及其实施。</w:t>
            </w:r>
          </w:p>
        </w:tc>
      </w:tr>
    </w:tbl>
    <w:p>
      <w:pPr>
        <w:pStyle w:val="60"/>
        <w:spacing w:line="288" w:lineRule="auto"/>
        <w:ind w:left="380" w:firstLine="0" w:firstLineChars="0"/>
        <w:rPr>
          <w:kern w:val="0"/>
        </w:rPr>
      </w:pPr>
    </w:p>
    <w:p>
      <w:pPr>
        <w:pStyle w:val="60"/>
        <w:spacing w:after="158" w:afterLines="50" w:line="288" w:lineRule="auto"/>
        <w:ind w:left="378" w:hanging="378" w:hangingChars="180"/>
        <w:rPr>
          <w:rFonts w:ascii="黑体" w:hAnsi="黑体" w:eastAsia="黑体" w:cs="黑体"/>
          <w:color w:val="000000"/>
        </w:rPr>
      </w:pPr>
      <w:r>
        <w:rPr>
          <w:rFonts w:hint="eastAsia" w:ascii="黑体" w:hAnsi="黑体" w:eastAsia="黑体" w:cs="黑体"/>
        </w:rPr>
        <w:t>G.</w:t>
      </w:r>
      <w:r>
        <w:rPr>
          <w:rFonts w:hint="eastAsia" w:ascii="黑体" w:hAnsi="黑体" w:eastAsia="黑体" w:cs="黑体"/>
          <w:color w:val="000000"/>
        </w:rPr>
        <w:t>3.5 网络安全风险管理</w:t>
      </w:r>
    </w:p>
    <w:p>
      <w:pPr>
        <w:pStyle w:val="60"/>
        <w:spacing w:after="158" w:afterLines="50" w:line="288" w:lineRule="auto"/>
        <w:ind w:left="378" w:hanging="378" w:hangingChars="180"/>
        <w:jc w:val="center"/>
        <w:rPr>
          <w:rFonts w:ascii="黑体" w:hAnsi="黑体" w:eastAsia="黑体" w:cs="黑体"/>
          <w:color w:val="000000"/>
        </w:rPr>
      </w:pPr>
      <w:r>
        <w:rPr>
          <w:rFonts w:hint="eastAsia" w:ascii="黑体" w:hAnsi="黑体" w:eastAsia="黑体" w:cs="黑体"/>
          <w:color w:val="000000"/>
        </w:rPr>
        <w:t>表</w:t>
      </w:r>
      <w:r>
        <w:rPr>
          <w:rFonts w:hint="eastAsia" w:ascii="黑体" w:hAnsi="黑体" w:eastAsia="黑体" w:cs="黑体"/>
        </w:rPr>
        <w:t>G.</w:t>
      </w:r>
      <w:r>
        <w:rPr>
          <w:rFonts w:hint="eastAsia" w:ascii="黑体" w:hAnsi="黑体" w:eastAsia="黑体" w:cs="黑体"/>
          <w:color w:val="000000"/>
        </w:rPr>
        <w:t>6 网络安全风险管理内容与要求</w:t>
      </w:r>
    </w:p>
    <w:tbl>
      <w:tblPr>
        <w:tblStyle w:val="28"/>
        <w:tblW w:w="937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95"/>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0" w:type="dxa"/>
            <w:vAlign w:val="center"/>
          </w:tcPr>
          <w:p>
            <w:pPr>
              <w:pStyle w:val="60"/>
              <w:spacing w:line="288" w:lineRule="auto"/>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章节号</w:t>
            </w:r>
          </w:p>
        </w:tc>
        <w:tc>
          <w:tcPr>
            <w:tcW w:w="2395" w:type="dxa"/>
            <w:vAlign w:val="center"/>
          </w:tcPr>
          <w:p>
            <w:pPr>
              <w:pStyle w:val="60"/>
              <w:spacing w:line="288" w:lineRule="auto"/>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章节名</w:t>
            </w:r>
          </w:p>
        </w:tc>
        <w:tc>
          <w:tcPr>
            <w:tcW w:w="6080" w:type="dxa"/>
            <w:vAlign w:val="center"/>
          </w:tcPr>
          <w:p>
            <w:pPr>
              <w:pStyle w:val="60"/>
              <w:spacing w:line="288" w:lineRule="auto"/>
              <w:ind w:firstLine="0" w:firstLineChars="0"/>
              <w:jc w:val="center"/>
              <w:rPr>
                <w:rFonts w:ascii="黑体" w:hAnsi="黑体" w:eastAsia="黑体" w:cs="黑体"/>
                <w:color w:val="000000"/>
                <w:kern w:val="0"/>
              </w:rPr>
            </w:pPr>
            <w:r>
              <w:rPr>
                <w:rFonts w:hint="eastAsia" w:ascii="黑体" w:hAnsi="黑体" w:eastAsia="黑体" w:cs="黑体"/>
                <w:color w:val="000000"/>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0"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95" w:type="dxa"/>
            <w:vAlign w:val="center"/>
          </w:tcPr>
          <w:p>
            <w:pPr>
              <w:pStyle w:val="60"/>
              <w:spacing w:line="288"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网络安全系统风险评估</w:t>
            </w:r>
          </w:p>
        </w:tc>
        <w:tc>
          <w:tcPr>
            <w:tcW w:w="6080" w:type="dxa"/>
            <w:vAlign w:val="center"/>
          </w:tcPr>
          <w:p>
            <w:pPr>
              <w:spacing w:line="288" w:lineRule="auto"/>
              <w:jc w:val="left"/>
              <w:rPr>
                <w:rFonts w:ascii="宋体" w:hAnsi="宋体" w:eastAsia="宋体" w:cs="宋体"/>
                <w:color w:val="000000"/>
                <w:kern w:val="0"/>
                <w:sz w:val="18"/>
                <w:szCs w:val="18"/>
              </w:rPr>
            </w:pPr>
            <w:r>
              <w:rPr>
                <w:rFonts w:hint="eastAsia" w:ascii="宋体" w:hAnsi="宋体" w:eastAsia="宋体" w:cs="宋体"/>
                <w:kern w:val="0"/>
                <w:sz w:val="18"/>
                <w:szCs w:val="18"/>
              </w:rPr>
              <w:t>掌握</w:t>
            </w:r>
            <w:r>
              <w:rPr>
                <w:rFonts w:hint="eastAsia" w:ascii="宋体" w:hAnsi="宋体" w:eastAsia="宋体" w:cs="宋体"/>
                <w:color w:val="000000"/>
                <w:kern w:val="0"/>
                <w:sz w:val="18"/>
                <w:szCs w:val="18"/>
              </w:rPr>
              <w:t>信息保护设计原则，风险属性等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0"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95" w:type="dxa"/>
            <w:vAlign w:val="center"/>
          </w:tcPr>
          <w:p>
            <w:pPr>
              <w:pStyle w:val="60"/>
              <w:spacing w:line="288"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网络安全系统统合规性监管</w:t>
            </w:r>
          </w:p>
        </w:tc>
        <w:tc>
          <w:tcPr>
            <w:tcW w:w="6080" w:type="dxa"/>
            <w:vAlign w:val="center"/>
          </w:tcPr>
          <w:p>
            <w:pPr>
              <w:pStyle w:val="60"/>
              <w:spacing w:line="288" w:lineRule="auto"/>
              <w:ind w:right="-101" w:rightChars="-48" w:firstLine="0" w:firstLineChars="0"/>
              <w:jc w:val="left"/>
              <w:rPr>
                <w:rFonts w:ascii="宋体" w:hAnsi="宋体" w:cs="宋体"/>
                <w:color w:val="000000"/>
                <w:kern w:val="0"/>
                <w:sz w:val="18"/>
                <w:szCs w:val="18"/>
              </w:rPr>
            </w:pPr>
            <w:r>
              <w:rPr>
                <w:rFonts w:hint="eastAsia" w:ascii="宋体" w:hAnsi="宋体" w:cs="宋体"/>
                <w:kern w:val="0"/>
                <w:sz w:val="18"/>
                <w:szCs w:val="18"/>
              </w:rPr>
              <w:t>掌握</w:t>
            </w:r>
            <w:r>
              <w:rPr>
                <w:rFonts w:hint="eastAsia" w:ascii="宋体" w:hAnsi="宋体" w:cs="宋体"/>
                <w:color w:val="000000"/>
                <w:kern w:val="0"/>
                <w:sz w:val="18"/>
                <w:szCs w:val="18"/>
              </w:rPr>
              <w:t>网络安全设备合规性监管及制定网络安全合规程度的方法，掌握构建或调整网络合规性监管方法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0"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95" w:type="dxa"/>
            <w:vAlign w:val="center"/>
          </w:tcPr>
          <w:p>
            <w:pPr>
              <w:pStyle w:val="60"/>
              <w:spacing w:line="288"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网络安全风险事件管理与取证</w:t>
            </w:r>
          </w:p>
        </w:tc>
        <w:tc>
          <w:tcPr>
            <w:tcW w:w="6080" w:type="dxa"/>
            <w:vAlign w:val="center"/>
          </w:tcPr>
          <w:p>
            <w:pPr>
              <w:pStyle w:val="60"/>
              <w:spacing w:line="288" w:lineRule="auto"/>
              <w:ind w:firstLine="0" w:firstLineChars="0"/>
              <w:jc w:val="left"/>
              <w:rPr>
                <w:rFonts w:ascii="宋体" w:hAnsi="宋体" w:cs="宋体"/>
                <w:color w:val="000000"/>
                <w:kern w:val="0"/>
                <w:sz w:val="18"/>
                <w:szCs w:val="18"/>
              </w:rPr>
            </w:pPr>
            <w:r>
              <w:rPr>
                <w:rFonts w:hint="eastAsia" w:ascii="宋体" w:hAnsi="宋体" w:cs="宋体"/>
                <w:kern w:val="0"/>
                <w:sz w:val="18"/>
                <w:szCs w:val="18"/>
              </w:rPr>
              <w:t>掌握</w:t>
            </w:r>
            <w:r>
              <w:rPr>
                <w:rFonts w:hint="eastAsia" w:ascii="宋体" w:hAnsi="宋体" w:cs="宋体"/>
                <w:color w:val="000000"/>
                <w:kern w:val="0"/>
                <w:sz w:val="18"/>
                <w:szCs w:val="18"/>
              </w:rPr>
              <w:t>网络安全事件管理内容，理解网络安全事件响应方法的制定、规划与实施，检测与分析以及取证等解决办法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0"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95" w:type="dxa"/>
            <w:vAlign w:val="center"/>
          </w:tcPr>
          <w:p>
            <w:pPr>
              <w:pStyle w:val="60"/>
              <w:spacing w:line="288"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网络安全风险运维</w:t>
            </w:r>
          </w:p>
        </w:tc>
        <w:tc>
          <w:tcPr>
            <w:tcW w:w="6080" w:type="dxa"/>
            <w:vAlign w:val="center"/>
          </w:tcPr>
          <w:p>
            <w:pPr>
              <w:pStyle w:val="60"/>
              <w:spacing w:line="288" w:lineRule="auto"/>
              <w:ind w:firstLine="0" w:firstLineChars="0"/>
              <w:jc w:val="left"/>
              <w:rPr>
                <w:rFonts w:ascii="宋体" w:hAnsi="宋体" w:cs="宋体"/>
                <w:color w:val="000000"/>
                <w:kern w:val="0"/>
                <w:sz w:val="18"/>
                <w:szCs w:val="18"/>
              </w:rPr>
            </w:pPr>
            <w:r>
              <w:rPr>
                <w:rFonts w:hint="eastAsia" w:ascii="宋体" w:hAnsi="宋体" w:cs="宋体"/>
                <w:kern w:val="0"/>
                <w:sz w:val="18"/>
                <w:szCs w:val="18"/>
              </w:rPr>
              <w:t>掌握</w:t>
            </w:r>
            <w:r>
              <w:rPr>
                <w:rFonts w:hint="eastAsia" w:ascii="宋体" w:hAnsi="宋体" w:cs="宋体"/>
                <w:color w:val="000000"/>
                <w:kern w:val="0"/>
                <w:sz w:val="18"/>
                <w:szCs w:val="18"/>
              </w:rPr>
              <w:t>网络安全系统生命周期，理解网络安全与风险管理规划、部署、管理、监控与检测、修复与处置等方面的运维方法</w:t>
            </w:r>
          </w:p>
        </w:tc>
      </w:tr>
    </w:tbl>
    <w:p>
      <w:pPr>
        <w:pStyle w:val="60"/>
        <w:spacing w:line="288" w:lineRule="auto"/>
        <w:ind w:left="380" w:firstLine="0" w:firstLineChars="0"/>
        <w:jc w:val="left"/>
        <w:rPr>
          <w:rFonts w:ascii="宋体" w:hAnsi="宋体"/>
        </w:rPr>
      </w:pPr>
    </w:p>
    <w:p>
      <w:pPr>
        <w:pStyle w:val="36"/>
        <w:spacing w:after="158" w:afterLines="50" w:line="288" w:lineRule="auto"/>
        <w:ind w:left="378" w:hanging="378" w:hangingChars="180"/>
        <w:rPr>
          <w:rFonts w:ascii="黑体" w:hAnsi="黑体" w:eastAsia="黑体" w:cs="黑体"/>
        </w:rPr>
      </w:pPr>
      <w:r>
        <w:rPr>
          <w:rFonts w:hint="eastAsia" w:ascii="黑体" w:hAnsi="黑体" w:eastAsia="黑体" w:cs="黑体"/>
        </w:rPr>
        <w:t>G.3.6 信息安全风险评估案例分析</w:t>
      </w:r>
    </w:p>
    <w:p>
      <w:pPr>
        <w:pStyle w:val="36"/>
        <w:spacing w:after="158" w:afterLines="50" w:line="288" w:lineRule="auto"/>
        <w:ind w:left="378" w:hanging="378" w:hangingChars="180"/>
        <w:jc w:val="center"/>
        <w:rPr>
          <w:rFonts w:ascii="黑体" w:hAnsi="黑体" w:eastAsia="黑体" w:cs="黑体"/>
        </w:rPr>
      </w:pPr>
      <w:r>
        <w:rPr>
          <w:rFonts w:hint="eastAsia" w:ascii="黑体" w:hAnsi="黑体" w:eastAsia="黑体" w:cs="黑体"/>
          <w:color w:val="000000"/>
        </w:rPr>
        <w:t>表</w:t>
      </w:r>
      <w:r>
        <w:rPr>
          <w:rFonts w:hint="eastAsia" w:ascii="黑体" w:hAnsi="黑体" w:eastAsia="黑体" w:cs="黑体"/>
        </w:rPr>
        <w:t>G.</w:t>
      </w:r>
      <w:r>
        <w:rPr>
          <w:rFonts w:hint="eastAsia" w:ascii="黑体" w:hAnsi="黑体" w:eastAsia="黑体" w:cs="黑体"/>
          <w:color w:val="000000"/>
        </w:rPr>
        <w:t xml:space="preserve">6 </w:t>
      </w:r>
      <w:r>
        <w:rPr>
          <w:rFonts w:hint="eastAsia" w:ascii="黑体" w:hAnsi="黑体" w:eastAsia="黑体" w:cs="黑体"/>
        </w:rPr>
        <w:t>信息安全风险评估案例分析内容与要求</w:t>
      </w:r>
    </w:p>
    <w:tbl>
      <w:tblPr>
        <w:tblStyle w:val="28"/>
        <w:tblW w:w="934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43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72" w:type="dxa"/>
            <w:vAlign w:val="center"/>
          </w:tcPr>
          <w:p>
            <w:pPr>
              <w:pStyle w:val="36"/>
              <w:spacing w:line="288" w:lineRule="auto"/>
              <w:ind w:firstLine="0" w:firstLineChars="0"/>
              <w:jc w:val="center"/>
              <w:rPr>
                <w:rFonts w:ascii="黑体" w:hAnsi="黑体" w:eastAsia="黑体" w:cs="黑体"/>
                <w:kern w:val="0"/>
                <w:sz w:val="20"/>
                <w:szCs w:val="20"/>
              </w:rPr>
            </w:pPr>
            <w:r>
              <w:rPr>
                <w:rFonts w:hint="eastAsia" w:ascii="黑体" w:hAnsi="黑体" w:eastAsia="黑体" w:cs="黑体"/>
                <w:kern w:val="0"/>
                <w:sz w:val="20"/>
                <w:szCs w:val="20"/>
              </w:rPr>
              <w:t>章节号</w:t>
            </w:r>
          </w:p>
        </w:tc>
        <w:tc>
          <w:tcPr>
            <w:tcW w:w="2439" w:type="dxa"/>
            <w:vAlign w:val="center"/>
          </w:tcPr>
          <w:p>
            <w:pPr>
              <w:pStyle w:val="36"/>
              <w:spacing w:line="288" w:lineRule="auto"/>
              <w:ind w:firstLine="0" w:firstLineChars="0"/>
              <w:jc w:val="center"/>
              <w:rPr>
                <w:rFonts w:ascii="黑体" w:hAnsi="黑体" w:eastAsia="黑体" w:cs="黑体"/>
                <w:kern w:val="0"/>
                <w:sz w:val="20"/>
                <w:szCs w:val="20"/>
              </w:rPr>
            </w:pPr>
            <w:r>
              <w:rPr>
                <w:rFonts w:hint="eastAsia" w:ascii="黑体" w:hAnsi="黑体" w:eastAsia="黑体" w:cs="黑体"/>
                <w:kern w:val="0"/>
                <w:sz w:val="20"/>
                <w:szCs w:val="20"/>
              </w:rPr>
              <w:t>章节名</w:t>
            </w:r>
          </w:p>
        </w:tc>
        <w:tc>
          <w:tcPr>
            <w:tcW w:w="6035" w:type="dxa"/>
            <w:vAlign w:val="center"/>
          </w:tcPr>
          <w:p>
            <w:pPr>
              <w:pStyle w:val="36"/>
              <w:spacing w:line="288" w:lineRule="auto"/>
              <w:ind w:firstLine="0" w:firstLineChars="0"/>
              <w:jc w:val="center"/>
              <w:rPr>
                <w:rFonts w:ascii="黑体" w:hAnsi="黑体" w:eastAsia="黑体" w:cs="黑体"/>
                <w:kern w:val="0"/>
                <w:sz w:val="20"/>
                <w:szCs w:val="20"/>
              </w:rPr>
            </w:pPr>
            <w:r>
              <w:rPr>
                <w:rFonts w:hint="eastAsia" w:ascii="黑体" w:hAnsi="黑体" w:eastAsia="黑体" w:cs="黑体"/>
                <w:kern w:val="0"/>
                <w:sz w:val="20"/>
                <w:szCs w:val="2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439"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信息安全风险评估概述</w:t>
            </w:r>
          </w:p>
        </w:tc>
        <w:tc>
          <w:tcPr>
            <w:tcW w:w="6035"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确定评估的内容、评估的依据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439"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安全现状分析</w:t>
            </w:r>
          </w:p>
        </w:tc>
        <w:tc>
          <w:tcPr>
            <w:tcW w:w="6035"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对系统进行介绍、编制资产调查列表、描述网络现状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439"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风险评估内容</w:t>
            </w:r>
          </w:p>
        </w:tc>
        <w:tc>
          <w:tcPr>
            <w:tcW w:w="6035"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进行安全评估综合分析，具体包括：威胁评估、网络设备安全评估、主机人工安全评估、应用安全评估、网络架构安全评估、无线网络安全评估、工具扫描、管理安全评估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72"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439"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风险分析和处理</w:t>
            </w:r>
          </w:p>
        </w:tc>
        <w:tc>
          <w:tcPr>
            <w:tcW w:w="6035"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进行综合风险分析，具体包括：综合风险评估方法、综合风险评估分析</w:t>
            </w:r>
            <w:r>
              <w:rPr>
                <w:rFonts w:hint="eastAsia" w:ascii="宋体" w:hAnsi="宋体" w:cs="宋体"/>
                <w:kern w:val="0"/>
                <w:sz w:val="18"/>
                <w:szCs w:val="18"/>
              </w:rPr>
              <w:br w:type="textWrapping"/>
            </w:r>
            <w:r>
              <w:rPr>
                <w:rFonts w:hint="eastAsia" w:ascii="宋体" w:hAnsi="宋体" w:cs="宋体"/>
                <w:kern w:val="0"/>
                <w:sz w:val="18"/>
                <w:szCs w:val="18"/>
              </w:rPr>
              <w:t>进行风险处置，具体包括：风险处置方式、风险处置计划</w:t>
            </w:r>
          </w:p>
        </w:tc>
      </w:tr>
    </w:tbl>
    <w:p>
      <w:pPr>
        <w:spacing w:line="120" w:lineRule="auto"/>
        <w:rPr>
          <w:rFonts w:ascii="Songti SC" w:hAnsi="Songti SC" w:eastAsia="Songti SC"/>
          <w:color w:val="000000" w:themeColor="text1"/>
          <w:szCs w:val="21"/>
          <w14:textFill>
            <w14:solidFill>
              <w14:schemeClr w14:val="tx1"/>
            </w14:solidFill>
          </w14:textFill>
        </w:rPr>
      </w:pPr>
    </w:p>
    <w:p>
      <w:pPr>
        <w:rPr>
          <w:rFonts w:ascii="宋体" w:hAnsi="宋体"/>
          <w:color w:val="0070C0"/>
          <w:szCs w:val="21"/>
        </w:rPr>
      </w:pPr>
      <w:r>
        <w:rPr>
          <w:rFonts w:ascii="宋体" w:hAnsi="宋体"/>
          <w:color w:val="0070C0"/>
          <w:szCs w:val="21"/>
        </w:rPr>
        <w:br w:type="page"/>
      </w:r>
    </w:p>
    <w:p>
      <w:pPr>
        <w:tabs>
          <w:tab w:val="left" w:pos="3455"/>
        </w:tabs>
        <w:spacing w:line="360" w:lineRule="auto"/>
        <w:jc w:val="center"/>
        <w:outlineLvl w:val="0"/>
        <w:rPr>
          <w:rFonts w:ascii="黑体" w:hAnsi="黑体" w:eastAsia="黑体" w:cs="黑体"/>
          <w:szCs w:val="21"/>
        </w:rPr>
      </w:pPr>
      <w:bookmarkStart w:id="113" w:name="_Toc31844"/>
      <w:r>
        <w:rPr>
          <w:rFonts w:hint="eastAsia" w:ascii="黑体" w:hAnsi="黑体" w:eastAsia="黑体" w:cs="黑体"/>
          <w:szCs w:val="21"/>
        </w:rPr>
        <w:t>附 录 H</w:t>
      </w:r>
      <w:bookmarkEnd w:id="113"/>
    </w:p>
    <w:p>
      <w:pPr>
        <w:tabs>
          <w:tab w:val="left" w:pos="3455"/>
        </w:tabs>
        <w:spacing w:line="360" w:lineRule="auto"/>
        <w:jc w:val="center"/>
        <w:outlineLvl w:val="0"/>
        <w:rPr>
          <w:rFonts w:ascii="黑体" w:hAnsi="黑体" w:eastAsia="黑体" w:cs="黑体"/>
          <w:szCs w:val="21"/>
        </w:rPr>
      </w:pPr>
      <w:bookmarkStart w:id="114" w:name="_Toc11330"/>
      <w:bookmarkStart w:id="115" w:name="_Toc27295"/>
      <w:bookmarkStart w:id="116" w:name="_Toc678"/>
      <w:r>
        <w:rPr>
          <w:rFonts w:hint="eastAsia" w:ascii="黑体" w:hAnsi="黑体" w:eastAsia="黑体" w:cs="黑体"/>
          <w:szCs w:val="21"/>
        </w:rPr>
        <w:t>（规范性）</w:t>
      </w:r>
      <w:bookmarkEnd w:id="114"/>
      <w:bookmarkEnd w:id="115"/>
      <w:bookmarkEnd w:id="116"/>
    </w:p>
    <w:p>
      <w:pPr>
        <w:tabs>
          <w:tab w:val="left" w:pos="3455"/>
        </w:tabs>
        <w:spacing w:after="158" w:afterLines="50" w:line="360" w:lineRule="auto"/>
        <w:jc w:val="center"/>
        <w:outlineLvl w:val="0"/>
        <w:rPr>
          <w:rFonts w:ascii="黑体" w:hAnsi="黑体" w:eastAsia="黑体" w:cs="黑体"/>
          <w:szCs w:val="21"/>
        </w:rPr>
      </w:pPr>
      <w:bookmarkStart w:id="117" w:name="_Toc26543"/>
      <w:bookmarkStart w:id="118" w:name="_Toc8306"/>
      <w:bookmarkStart w:id="119" w:name="_Toc6475"/>
      <w:r>
        <w:rPr>
          <w:rFonts w:hint="eastAsia" w:ascii="黑体" w:hAnsi="黑体" w:eastAsia="黑体" w:cs="黑体"/>
          <w:szCs w:val="21"/>
        </w:rPr>
        <w:t>网络安全应急处理考试大纲</w:t>
      </w:r>
      <w:bookmarkEnd w:id="117"/>
      <w:bookmarkEnd w:id="118"/>
      <w:bookmarkEnd w:id="119"/>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H.1 目的</w:t>
      </w:r>
    </w:p>
    <w:p>
      <w:pPr>
        <w:pStyle w:val="36"/>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为使考生</w:t>
      </w:r>
      <w:r>
        <w:rPr>
          <w:rFonts w:hint="eastAsia" w:ascii="宋体" w:hAnsi="宋体"/>
          <w:color w:val="000000" w:themeColor="text1"/>
          <w14:textFill>
            <w14:solidFill>
              <w14:schemeClr w14:val="tx1"/>
            </w14:solidFill>
          </w14:textFill>
        </w:rPr>
        <w:t>达到本认证规范中网络空间安全专业人员网络安全应急处理方向二级、三级能力要求，</w:t>
      </w:r>
      <w:r>
        <w:rPr>
          <w:rFonts w:ascii="宋体" w:hAnsi="宋体"/>
          <w:color w:val="000000" w:themeColor="text1"/>
          <w14:textFill>
            <w14:solidFill>
              <w14:schemeClr w14:val="tx1"/>
            </w14:solidFill>
          </w14:textFill>
        </w:rPr>
        <w:t>指导考生有效准备考试，特制定本考试大纲</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以下简称大纲</w:t>
      </w:r>
      <w:r>
        <w:rPr>
          <w:rFonts w:hint="eastAsia" w:ascii="宋体" w:hAnsi="宋体"/>
          <w:color w:val="000000" w:themeColor="text1"/>
          <w14:textFill>
            <w14:solidFill>
              <w14:schemeClr w14:val="tx1"/>
            </w14:solidFill>
          </w14:textFill>
        </w:rPr>
        <w:t>）。</w:t>
      </w:r>
    </w:p>
    <w:p>
      <w:pPr>
        <w:spacing w:line="480" w:lineRule="auto"/>
        <w:rPr>
          <w:rFonts w:ascii="黑体" w:hAnsi="黑体" w:eastAsia="黑体" w:cs="黑体"/>
        </w:rPr>
      </w:pPr>
      <w:r>
        <w:rPr>
          <w:rFonts w:hint="eastAsia" w:ascii="黑体" w:hAnsi="黑体" w:eastAsia="黑体" w:cs="黑体"/>
        </w:rPr>
        <w:t>H.2考试内容</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H.2.1专业课程要求</w:t>
      </w:r>
    </w:p>
    <w:p>
      <w:pPr>
        <w:pStyle w:val="58"/>
        <w:spacing w:after="158" w:afterLines="50" w:line="360" w:lineRule="auto"/>
        <w:ind w:firstLine="0" w:firstLineChars="0"/>
        <w:jc w:val="center"/>
        <w:rPr>
          <w:rFonts w:ascii="黑体" w:hAnsi="黑体" w:eastAsia="黑体" w:cs="黑体"/>
        </w:rPr>
      </w:pPr>
      <w:r>
        <w:rPr>
          <w:rFonts w:hint="eastAsia" w:ascii="黑体" w:hAnsi="黑体" w:eastAsia="黑体" w:cs="黑体"/>
        </w:rPr>
        <w:t>表H.1 课程要求</w:t>
      </w:r>
    </w:p>
    <w:tbl>
      <w:tblPr>
        <w:tblStyle w:val="28"/>
        <w:tblW w:w="921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22" w:type="dxa"/>
            <w:vAlign w:val="center"/>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课程名称</w:t>
            </w:r>
          </w:p>
        </w:tc>
        <w:tc>
          <w:tcPr>
            <w:tcW w:w="2835" w:type="dxa"/>
            <w:vAlign w:val="center"/>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课程类型</w:t>
            </w:r>
          </w:p>
        </w:tc>
        <w:tc>
          <w:tcPr>
            <w:tcW w:w="3260" w:type="dxa"/>
            <w:vAlign w:val="center"/>
          </w:tcPr>
          <w:p>
            <w:pPr>
              <w:pStyle w:val="58"/>
              <w:spacing w:line="360" w:lineRule="auto"/>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22"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项目管理基础</w:t>
            </w:r>
          </w:p>
        </w:tc>
        <w:tc>
          <w:tcPr>
            <w:tcW w:w="2835"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260"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122"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信息安全技术</w:t>
            </w:r>
          </w:p>
        </w:tc>
        <w:tc>
          <w:tcPr>
            <w:tcW w:w="2835"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260"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122"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通信技术基础</w:t>
            </w:r>
          </w:p>
        </w:tc>
        <w:tc>
          <w:tcPr>
            <w:tcW w:w="2835"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基础课程</w:t>
            </w:r>
          </w:p>
        </w:tc>
        <w:tc>
          <w:tcPr>
            <w:tcW w:w="3260"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122" w:type="dxa"/>
            <w:vAlign w:val="center"/>
          </w:tcPr>
          <w:p>
            <w:pPr>
              <w:pStyle w:val="2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网络安全应急响应</w:t>
            </w:r>
          </w:p>
        </w:tc>
        <w:tc>
          <w:tcPr>
            <w:tcW w:w="2835" w:type="dxa"/>
            <w:vAlign w:val="center"/>
          </w:tcPr>
          <w:p>
            <w:pPr>
              <w:pStyle w:val="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专业课程</w:t>
            </w:r>
          </w:p>
        </w:tc>
        <w:tc>
          <w:tcPr>
            <w:tcW w:w="3260" w:type="dxa"/>
            <w:vAlign w:val="center"/>
          </w:tcPr>
          <w:p>
            <w:pPr>
              <w:jc w:val="center"/>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全部</w:t>
            </w:r>
          </w:p>
        </w:tc>
      </w:tr>
    </w:tbl>
    <w:p>
      <w:pPr>
        <w:pStyle w:val="58"/>
        <w:spacing w:before="158" w:beforeLines="50" w:line="360" w:lineRule="auto"/>
        <w:ind w:firstLine="0" w:firstLineChars="0"/>
        <w:rPr>
          <w:rFonts w:ascii="黑体" w:hAnsi="黑体" w:eastAsia="黑体" w:cs="黑体"/>
        </w:rPr>
      </w:pPr>
      <w:r>
        <w:rPr>
          <w:rFonts w:hint="eastAsia" w:ascii="黑体" w:hAnsi="黑体" w:eastAsia="黑体" w:cs="黑体"/>
        </w:rPr>
        <w:t>H.3 各课程知识点要求</w:t>
      </w:r>
    </w:p>
    <w:p>
      <w:pPr>
        <w:pStyle w:val="58"/>
        <w:spacing w:after="158" w:afterLines="50" w:line="360" w:lineRule="auto"/>
        <w:ind w:firstLine="0" w:firstLineChars="0"/>
        <w:rPr>
          <w:rFonts w:ascii="黑体" w:hAnsi="黑体" w:eastAsia="黑体" w:cs="黑体"/>
        </w:rPr>
      </w:pPr>
      <w:r>
        <w:rPr>
          <w:rFonts w:hint="eastAsia" w:ascii="黑体" w:hAnsi="黑体" w:eastAsia="黑体" w:cs="黑体"/>
        </w:rPr>
        <w:t>H.3.1  项目管理基础</w:t>
      </w:r>
    </w:p>
    <w:p>
      <w:pPr>
        <w:pStyle w:val="58"/>
        <w:spacing w:after="158" w:afterLines="50" w:line="360" w:lineRule="auto"/>
        <w:ind w:firstLine="0" w:firstLineChars="0"/>
        <w:jc w:val="center"/>
        <w:outlineLvl w:val="0"/>
        <w:rPr>
          <w:rFonts w:ascii="黑体" w:hAnsi="黑体" w:eastAsia="黑体" w:cs="黑体"/>
        </w:rPr>
      </w:pPr>
      <w:bookmarkStart w:id="120" w:name="_Toc4888"/>
      <w:bookmarkStart w:id="121" w:name="_Toc25915"/>
      <w:bookmarkStart w:id="122" w:name="_Toc23694"/>
      <w:r>
        <w:rPr>
          <w:rFonts w:hint="eastAsia" w:ascii="黑体" w:hAnsi="黑体" w:eastAsia="黑体" w:cs="黑体"/>
        </w:rPr>
        <w:t>表H.2 项目管理基础课程内容与要求</w:t>
      </w:r>
      <w:bookmarkEnd w:id="120"/>
      <w:bookmarkEnd w:id="121"/>
      <w:bookmarkEnd w:id="122"/>
    </w:p>
    <w:tbl>
      <w:tblPr>
        <w:tblStyle w:val="28"/>
        <w:tblW w:w="914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95"/>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tcPr>
          <w:p>
            <w:pPr>
              <w:pStyle w:val="58"/>
              <w:spacing w:line="288" w:lineRule="auto"/>
              <w:ind w:firstLine="0" w:firstLineChars="0"/>
              <w:jc w:val="center"/>
              <w:rPr>
                <w:rFonts w:ascii="黑体" w:hAnsi="黑体" w:eastAsia="黑体" w:cs="黑体"/>
                <w:sz w:val="20"/>
                <w:szCs w:val="20"/>
              </w:rPr>
            </w:pPr>
            <w:r>
              <w:rPr>
                <w:rFonts w:hint="eastAsia" w:ascii="黑体" w:hAnsi="黑体" w:eastAsia="黑体" w:cs="黑体"/>
                <w:sz w:val="20"/>
                <w:szCs w:val="20"/>
              </w:rPr>
              <w:t>章节号</w:t>
            </w:r>
          </w:p>
        </w:tc>
        <w:tc>
          <w:tcPr>
            <w:tcW w:w="1895" w:type="dxa"/>
          </w:tcPr>
          <w:p>
            <w:pPr>
              <w:pStyle w:val="58"/>
              <w:spacing w:line="288" w:lineRule="auto"/>
              <w:ind w:firstLine="0" w:firstLineChars="0"/>
              <w:jc w:val="center"/>
              <w:rPr>
                <w:rFonts w:ascii="黑体" w:hAnsi="黑体" w:eastAsia="黑体" w:cs="黑体"/>
                <w:sz w:val="20"/>
                <w:szCs w:val="20"/>
              </w:rPr>
            </w:pPr>
            <w:r>
              <w:rPr>
                <w:rFonts w:hint="eastAsia" w:ascii="黑体" w:hAnsi="黑体" w:eastAsia="黑体" w:cs="黑体"/>
                <w:sz w:val="20"/>
                <w:szCs w:val="20"/>
              </w:rPr>
              <w:t>章节名</w:t>
            </w:r>
          </w:p>
        </w:tc>
        <w:tc>
          <w:tcPr>
            <w:tcW w:w="6370" w:type="dxa"/>
          </w:tcPr>
          <w:p>
            <w:pPr>
              <w:pStyle w:val="58"/>
              <w:spacing w:line="288" w:lineRule="auto"/>
              <w:ind w:firstLine="0" w:firstLineChars="0"/>
              <w:jc w:val="center"/>
              <w:rPr>
                <w:rFonts w:ascii="黑体" w:hAnsi="黑体" w:eastAsia="黑体" w:cs="黑体"/>
                <w:sz w:val="20"/>
                <w:szCs w:val="20"/>
              </w:rPr>
            </w:pPr>
            <w:r>
              <w:rPr>
                <w:rFonts w:hint="eastAsia" w:ascii="黑体" w:hAnsi="黑体" w:eastAsia="黑体" w:cs="黑体"/>
                <w:sz w:val="20"/>
                <w:szCs w:val="2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1</w:t>
            </w:r>
          </w:p>
        </w:tc>
        <w:tc>
          <w:tcPr>
            <w:tcW w:w="1895" w:type="dxa"/>
            <w:vAlign w:val="center"/>
          </w:tcPr>
          <w:p>
            <w:pPr>
              <w:pStyle w:val="25"/>
              <w:spacing w:line="288" w:lineRule="auto"/>
              <w:jc w:val="both"/>
              <w:rPr>
                <w:sz w:val="18"/>
                <w:szCs w:val="18"/>
              </w:rPr>
            </w:pPr>
            <w:r>
              <w:rPr>
                <w:rFonts w:hint="eastAsia"/>
                <w:sz w:val="18"/>
                <w:szCs w:val="18"/>
              </w:rPr>
              <w:t xml:space="preserve">项目管理基本概念 </w:t>
            </w:r>
          </w:p>
        </w:tc>
        <w:tc>
          <w:tcPr>
            <w:tcW w:w="6370" w:type="dxa"/>
            <w:vAlign w:val="center"/>
          </w:tcPr>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正确理解项目的本质 </w:t>
            </w:r>
          </w:p>
          <w:p>
            <w:pPr>
              <w:pStyle w:val="58"/>
              <w:spacing w:line="288" w:lineRule="auto"/>
              <w:ind w:firstLine="0" w:firstLineChars="0"/>
              <w:rPr>
                <w:rFonts w:ascii="宋体" w:hAnsi="宋体" w:cs="宋体"/>
                <w:sz w:val="18"/>
                <w:szCs w:val="18"/>
              </w:rPr>
            </w:pPr>
            <w:r>
              <w:rPr>
                <w:rFonts w:hint="eastAsia" w:ascii="宋体" w:hAnsi="宋体" w:cs="宋体"/>
                <w:sz w:val="18"/>
                <w:szCs w:val="18"/>
              </w:rPr>
              <w:t>正确理解管理的本质</w:t>
            </w:r>
          </w:p>
          <w:p>
            <w:pPr>
              <w:pStyle w:val="58"/>
              <w:spacing w:line="288" w:lineRule="auto"/>
              <w:ind w:firstLine="0" w:firstLineChars="0"/>
              <w:rPr>
                <w:rFonts w:ascii="宋体" w:hAnsi="宋体" w:cs="宋体"/>
                <w:sz w:val="18"/>
                <w:szCs w:val="18"/>
              </w:rPr>
            </w:pPr>
            <w:r>
              <w:rPr>
                <w:rFonts w:hint="eastAsia" w:ascii="宋体" w:hAnsi="宋体" w:cs="宋体"/>
                <w:sz w:val="18"/>
                <w:szCs w:val="18"/>
              </w:rPr>
              <w:t>掌握项目管理的基本分类</w:t>
            </w:r>
          </w:p>
          <w:p>
            <w:pPr>
              <w:pStyle w:val="58"/>
              <w:spacing w:line="288" w:lineRule="auto"/>
              <w:ind w:firstLine="0" w:firstLineChars="0"/>
              <w:rPr>
                <w:rFonts w:ascii="宋体" w:hAnsi="宋体" w:cs="宋体"/>
                <w:sz w:val="18"/>
                <w:szCs w:val="18"/>
              </w:rPr>
            </w:pPr>
            <w:r>
              <w:rPr>
                <w:rFonts w:hint="eastAsia" w:ascii="宋体" w:hAnsi="宋体" w:cs="宋体"/>
                <w:sz w:val="18"/>
                <w:szCs w:val="18"/>
              </w:rPr>
              <w:t>熟练掌握项目管理的生命周期与流程</w:t>
            </w:r>
          </w:p>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掌握项目管理相对其他管理的特性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2</w:t>
            </w:r>
          </w:p>
        </w:tc>
        <w:tc>
          <w:tcPr>
            <w:tcW w:w="1895" w:type="dxa"/>
            <w:vAlign w:val="center"/>
          </w:tcPr>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项目管理的发展历 史与现状 </w:t>
            </w:r>
          </w:p>
        </w:tc>
        <w:tc>
          <w:tcPr>
            <w:tcW w:w="6370" w:type="dxa"/>
            <w:vAlign w:val="center"/>
          </w:tcPr>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了解项目管理的发展过程 </w:t>
            </w:r>
          </w:p>
          <w:p>
            <w:pPr>
              <w:pStyle w:val="58"/>
              <w:spacing w:line="288" w:lineRule="auto"/>
              <w:ind w:firstLine="0" w:firstLineChars="0"/>
              <w:rPr>
                <w:rFonts w:ascii="宋体" w:hAnsi="宋体" w:cs="宋体"/>
                <w:sz w:val="18"/>
                <w:szCs w:val="18"/>
              </w:rPr>
            </w:pPr>
            <w:r>
              <w:rPr>
                <w:rFonts w:hint="eastAsia" w:ascii="宋体" w:hAnsi="宋体" w:cs="宋体"/>
                <w:sz w:val="18"/>
                <w:szCs w:val="18"/>
              </w:rPr>
              <w:t xml:space="preserve">了解国际项目管理发展现状 </w:t>
            </w:r>
          </w:p>
          <w:p>
            <w:pPr>
              <w:pStyle w:val="58"/>
              <w:spacing w:line="288" w:lineRule="auto"/>
              <w:ind w:firstLine="0" w:firstLineChars="0"/>
              <w:rPr>
                <w:rFonts w:ascii="宋体" w:hAnsi="宋体" w:cs="宋体"/>
                <w:sz w:val="18"/>
                <w:szCs w:val="18"/>
              </w:rPr>
            </w:pPr>
            <w:r>
              <w:rPr>
                <w:rFonts w:hint="eastAsia" w:ascii="宋体" w:hAnsi="宋体" w:cs="宋体"/>
                <w:sz w:val="18"/>
                <w:szCs w:val="18"/>
              </w:rPr>
              <w:t>了解国际国内项目管理人员认证情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3</w:t>
            </w:r>
          </w:p>
        </w:tc>
        <w:tc>
          <w:tcPr>
            <w:tcW w:w="1895"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九大项目管理知识领域 </w:t>
            </w:r>
          </w:p>
        </w:tc>
        <w:tc>
          <w:tcPr>
            <w:tcW w:w="6370"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熟练掌握项目综合管理、项目范围管理、 项目时间管理、项目成本管理、项目质量 管理、项目人力资源 管理、项目沟通管理、 项目风险管理和项目 采购管理思想与方法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掌握项目综合管理、 项目范围管理、项目 时间管理、项目成本管理、项目质量管理、 项目人力资源管理、 项目沟通管理、项目风险管理和项目采购管理工具和实施技巧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4</w:t>
            </w:r>
          </w:p>
        </w:tc>
        <w:tc>
          <w:tcPr>
            <w:tcW w:w="1895"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开发类项目管理技巧</w:t>
            </w:r>
          </w:p>
        </w:tc>
        <w:tc>
          <w:tcPr>
            <w:tcW w:w="6370"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掌握开发类项目管理的特点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掌握开发类项目生命周期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正确掌握开发类项目九大管理知识领域特性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实践一个完整的开发类项目过程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8"/>
              <w:spacing w:line="288" w:lineRule="auto"/>
              <w:ind w:firstLine="0" w:firstLineChars="0"/>
              <w:jc w:val="center"/>
              <w:rPr>
                <w:rFonts w:ascii="宋体" w:hAnsi="宋体" w:cs="宋体"/>
                <w:sz w:val="18"/>
                <w:szCs w:val="18"/>
              </w:rPr>
            </w:pPr>
            <w:r>
              <w:rPr>
                <w:rFonts w:hint="eastAsia" w:ascii="宋体" w:hAnsi="宋体" w:cs="宋体"/>
                <w:sz w:val="18"/>
                <w:szCs w:val="18"/>
              </w:rPr>
              <w:t>5</w:t>
            </w:r>
          </w:p>
        </w:tc>
        <w:tc>
          <w:tcPr>
            <w:tcW w:w="1895"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集成类项目管理技巧 </w:t>
            </w:r>
          </w:p>
        </w:tc>
        <w:tc>
          <w:tcPr>
            <w:tcW w:w="6370" w:type="dxa"/>
            <w:vAlign w:val="center"/>
          </w:tcPr>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掌握集成类项目管理的特点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掌握集成类项目生命周期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掌握集成类项目九大管理知识领域特性 </w:t>
            </w:r>
          </w:p>
          <w:p>
            <w:pPr>
              <w:pStyle w:val="60"/>
              <w:spacing w:line="288" w:lineRule="auto"/>
              <w:ind w:firstLine="0" w:firstLineChars="0"/>
              <w:rPr>
                <w:rFonts w:ascii="宋体" w:hAnsi="宋体" w:cs="宋体"/>
                <w:sz w:val="18"/>
                <w:szCs w:val="18"/>
              </w:rPr>
            </w:pPr>
            <w:r>
              <w:rPr>
                <w:rFonts w:hint="eastAsia" w:ascii="宋体" w:hAnsi="宋体" w:cs="宋体"/>
                <w:sz w:val="18"/>
                <w:szCs w:val="18"/>
              </w:rPr>
              <w:t xml:space="preserve">实践一个完整的集成 </w:t>
            </w:r>
          </w:p>
        </w:tc>
      </w:tr>
    </w:tbl>
    <w:p>
      <w:pPr>
        <w:pStyle w:val="58"/>
        <w:ind w:left="380" w:firstLine="0" w:firstLineChars="0"/>
      </w:pPr>
    </w:p>
    <w:p>
      <w:pPr>
        <w:pStyle w:val="60"/>
        <w:spacing w:after="158" w:afterLines="50"/>
        <w:ind w:left="378" w:hanging="378" w:hangingChars="180"/>
        <w:outlineLvl w:val="0"/>
        <w:rPr>
          <w:rFonts w:ascii="黑体" w:hAnsi="黑体" w:eastAsia="黑体" w:cs="黑体"/>
          <w:color w:val="000000"/>
        </w:rPr>
      </w:pPr>
      <w:bookmarkStart w:id="123" w:name="_Toc18044"/>
      <w:bookmarkStart w:id="124" w:name="_Toc13758"/>
      <w:bookmarkStart w:id="125" w:name="_Toc13024"/>
      <w:r>
        <w:rPr>
          <w:rFonts w:hint="eastAsia" w:ascii="黑体" w:hAnsi="黑体" w:eastAsia="黑体" w:cs="黑体"/>
        </w:rPr>
        <w:t>H.3.2</w:t>
      </w:r>
      <w:r>
        <w:rPr>
          <w:rFonts w:hint="eastAsia" w:ascii="黑体" w:hAnsi="黑体" w:eastAsia="黑体" w:cs="黑体"/>
          <w:color w:val="000000"/>
        </w:rPr>
        <w:t xml:space="preserve"> 通信技术基础</w:t>
      </w:r>
      <w:bookmarkEnd w:id="123"/>
      <w:bookmarkEnd w:id="124"/>
      <w:bookmarkEnd w:id="125"/>
    </w:p>
    <w:p>
      <w:pPr>
        <w:pStyle w:val="60"/>
        <w:spacing w:after="158" w:afterLines="50"/>
        <w:ind w:left="378" w:hanging="378" w:hangingChars="180"/>
        <w:jc w:val="center"/>
        <w:outlineLvl w:val="0"/>
        <w:rPr>
          <w:rFonts w:ascii="黑体" w:hAnsi="黑体" w:eastAsia="黑体" w:cs="黑体"/>
          <w:color w:val="000000"/>
        </w:rPr>
      </w:pPr>
      <w:bookmarkStart w:id="126" w:name="_Toc2986"/>
      <w:bookmarkStart w:id="127" w:name="_Toc10171"/>
      <w:bookmarkStart w:id="128" w:name="_Toc28297"/>
      <w:r>
        <w:rPr>
          <w:rFonts w:hint="eastAsia" w:ascii="黑体" w:hAnsi="黑体" w:eastAsia="黑体" w:cs="黑体"/>
          <w:color w:val="000000"/>
        </w:rPr>
        <w:t>表H.3 通信技术基础课程内容与要求</w:t>
      </w:r>
      <w:bookmarkEnd w:id="126"/>
      <w:bookmarkEnd w:id="127"/>
      <w:bookmarkEnd w:id="128"/>
    </w:p>
    <w:tbl>
      <w:tblPr>
        <w:tblStyle w:val="28"/>
        <w:tblW w:w="921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47"/>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930" w:type="dxa"/>
            <w:vAlign w:val="center"/>
          </w:tcPr>
          <w:p>
            <w:pPr>
              <w:pStyle w:val="60"/>
              <w:ind w:firstLine="0" w:firstLineChars="0"/>
              <w:jc w:val="center"/>
              <w:rPr>
                <w:rFonts w:ascii="黑体" w:hAnsi="黑体" w:eastAsia="黑体" w:cs="黑体"/>
                <w:color w:val="000000"/>
              </w:rPr>
            </w:pPr>
            <w:r>
              <w:rPr>
                <w:rFonts w:hint="eastAsia" w:ascii="黑体" w:hAnsi="黑体" w:eastAsia="黑体" w:cs="黑体"/>
                <w:color w:val="000000"/>
              </w:rPr>
              <w:t>章节号</w:t>
            </w:r>
          </w:p>
        </w:tc>
        <w:tc>
          <w:tcPr>
            <w:tcW w:w="1847" w:type="dxa"/>
            <w:vAlign w:val="center"/>
          </w:tcPr>
          <w:p>
            <w:pPr>
              <w:pStyle w:val="60"/>
              <w:ind w:firstLine="0" w:firstLineChars="0"/>
              <w:jc w:val="center"/>
              <w:rPr>
                <w:rFonts w:ascii="黑体" w:hAnsi="黑体" w:eastAsia="黑体" w:cs="黑体"/>
                <w:color w:val="000000"/>
              </w:rPr>
            </w:pPr>
            <w:r>
              <w:rPr>
                <w:rFonts w:hint="eastAsia" w:ascii="黑体" w:hAnsi="黑体" w:eastAsia="黑体" w:cs="黑体"/>
                <w:color w:val="000000"/>
              </w:rPr>
              <w:t>章节名</w:t>
            </w:r>
          </w:p>
        </w:tc>
        <w:tc>
          <w:tcPr>
            <w:tcW w:w="6434" w:type="dxa"/>
            <w:vAlign w:val="center"/>
          </w:tcPr>
          <w:p>
            <w:pPr>
              <w:pStyle w:val="60"/>
              <w:ind w:firstLine="0" w:firstLineChars="0"/>
              <w:jc w:val="center"/>
              <w:rPr>
                <w:rFonts w:ascii="黑体" w:hAnsi="黑体" w:eastAsia="黑体" w:cs="黑体"/>
                <w:color w:val="000000"/>
              </w:rPr>
            </w:pPr>
            <w:r>
              <w:rPr>
                <w:rFonts w:hint="eastAsia" w:ascii="黑体" w:hAnsi="黑体" w:eastAsia="黑体" w:cs="黑体"/>
                <w:color w:val="00000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30" w:type="dxa"/>
            <w:vAlign w:val="center"/>
          </w:tcPr>
          <w:p>
            <w:pPr>
              <w:pStyle w:val="60"/>
              <w:ind w:firstLine="0" w:firstLineChars="0"/>
              <w:jc w:val="center"/>
              <w:rPr>
                <w:rFonts w:ascii="黑体" w:hAnsi="黑体" w:eastAsia="黑体" w:cs="黑体"/>
                <w:sz w:val="18"/>
                <w:szCs w:val="18"/>
              </w:rPr>
            </w:pPr>
            <w:r>
              <w:rPr>
                <w:rFonts w:hint="eastAsia" w:ascii="黑体" w:hAnsi="黑体" w:eastAsia="黑体" w:cs="黑体"/>
                <w:sz w:val="18"/>
                <w:szCs w:val="18"/>
              </w:rPr>
              <w:t>1</w:t>
            </w:r>
          </w:p>
        </w:tc>
        <w:tc>
          <w:tcPr>
            <w:tcW w:w="1847" w:type="dxa"/>
            <w:vAlign w:val="center"/>
          </w:tcPr>
          <w:p>
            <w:pPr>
              <w:pStyle w:val="60"/>
              <w:ind w:firstLine="0" w:firstLineChars="0"/>
              <w:jc w:val="left"/>
              <w:rPr>
                <w:rFonts w:ascii="宋体" w:hAnsi="宋体" w:cs="宋体"/>
                <w:sz w:val="18"/>
                <w:szCs w:val="18"/>
              </w:rPr>
            </w:pPr>
            <w:r>
              <w:rPr>
                <w:rFonts w:hint="eastAsia" w:ascii="宋体" w:hAnsi="宋体" w:cs="宋体"/>
                <w:sz w:val="18"/>
                <w:szCs w:val="18"/>
              </w:rPr>
              <w:t>通信的基本概念</w:t>
            </w:r>
          </w:p>
        </w:tc>
        <w:tc>
          <w:tcPr>
            <w:tcW w:w="6434" w:type="dxa"/>
            <w:vAlign w:val="center"/>
          </w:tcPr>
          <w:p>
            <w:pPr>
              <w:pStyle w:val="60"/>
              <w:ind w:firstLine="0" w:firstLineChars="0"/>
              <w:jc w:val="left"/>
              <w:rPr>
                <w:rFonts w:ascii="宋体" w:hAnsi="宋体" w:cs="宋体"/>
                <w:sz w:val="18"/>
                <w:szCs w:val="18"/>
              </w:rPr>
            </w:pPr>
            <w:r>
              <w:rPr>
                <w:rFonts w:hint="eastAsia" w:ascii="宋体" w:hAnsi="宋体" w:cs="宋体"/>
                <w:sz w:val="18"/>
                <w:szCs w:val="18"/>
              </w:rPr>
              <w:t>理解通信的本质含义及电信概念</w:t>
            </w:r>
          </w:p>
          <w:p>
            <w:pPr>
              <w:pStyle w:val="60"/>
              <w:ind w:firstLine="0" w:firstLineChars="0"/>
              <w:jc w:val="left"/>
              <w:rPr>
                <w:rFonts w:ascii="宋体" w:hAnsi="宋体" w:cs="宋体"/>
                <w:sz w:val="18"/>
                <w:szCs w:val="18"/>
              </w:rPr>
            </w:pPr>
            <w:r>
              <w:rPr>
                <w:rFonts w:hint="eastAsia" w:ascii="宋体" w:hAnsi="宋体" w:cs="宋体"/>
                <w:sz w:val="18"/>
                <w:szCs w:val="18"/>
              </w:rPr>
              <w:t>理解通信网络形成过程</w:t>
            </w:r>
          </w:p>
          <w:p>
            <w:pPr>
              <w:pStyle w:val="60"/>
              <w:ind w:firstLine="0" w:firstLineChars="0"/>
              <w:jc w:val="left"/>
              <w:rPr>
                <w:rFonts w:ascii="宋体" w:hAnsi="宋体" w:cs="宋体"/>
                <w:sz w:val="18"/>
                <w:szCs w:val="18"/>
              </w:rPr>
            </w:pPr>
            <w:r>
              <w:rPr>
                <w:rFonts w:hint="eastAsia" w:ascii="宋体" w:hAnsi="宋体" w:cs="宋体"/>
                <w:sz w:val="18"/>
                <w:szCs w:val="18"/>
              </w:rPr>
              <w:t>了解通信网络结构</w:t>
            </w:r>
          </w:p>
          <w:p>
            <w:pPr>
              <w:pStyle w:val="60"/>
              <w:ind w:firstLine="0" w:firstLineChars="0"/>
              <w:jc w:val="left"/>
              <w:rPr>
                <w:rFonts w:ascii="宋体" w:hAnsi="宋体" w:cs="宋体"/>
                <w:sz w:val="18"/>
                <w:szCs w:val="18"/>
              </w:rPr>
            </w:pPr>
            <w:r>
              <w:rPr>
                <w:rFonts w:hint="eastAsia" w:ascii="宋体" w:hAnsi="宋体" w:cs="宋体"/>
                <w:sz w:val="18"/>
                <w:szCs w:val="18"/>
              </w:rPr>
              <w:t>了解通信网络中的安全属性</w:t>
            </w:r>
          </w:p>
          <w:p>
            <w:pPr>
              <w:pStyle w:val="60"/>
              <w:ind w:firstLine="0" w:firstLineChars="0"/>
              <w:jc w:val="left"/>
              <w:rPr>
                <w:rFonts w:ascii="宋体" w:hAnsi="宋体" w:cs="宋体"/>
                <w:sz w:val="18"/>
                <w:szCs w:val="18"/>
              </w:rPr>
            </w:pPr>
            <w:r>
              <w:rPr>
                <w:rFonts w:hint="eastAsia" w:ascii="宋体" w:hAnsi="宋体" w:cs="宋体"/>
                <w:sz w:val="18"/>
                <w:szCs w:val="18"/>
              </w:rPr>
              <w:t>了解通信网络应用分类</w:t>
            </w:r>
          </w:p>
          <w:p>
            <w:pPr>
              <w:pStyle w:val="60"/>
              <w:ind w:firstLine="0" w:firstLineChars="0"/>
              <w:jc w:val="left"/>
              <w:rPr>
                <w:rFonts w:ascii="宋体" w:hAnsi="宋体" w:cs="宋体"/>
                <w:sz w:val="18"/>
                <w:szCs w:val="18"/>
              </w:rPr>
            </w:pPr>
            <w:r>
              <w:rPr>
                <w:rFonts w:hint="eastAsia" w:ascii="宋体" w:hAnsi="宋体" w:cs="宋体"/>
                <w:sz w:val="18"/>
                <w:szCs w:val="18"/>
              </w:rPr>
              <w:t>了解“网络”习惯分类</w:t>
            </w:r>
          </w:p>
          <w:p>
            <w:pPr>
              <w:pStyle w:val="60"/>
              <w:ind w:firstLine="0" w:firstLineChars="0"/>
              <w:jc w:val="left"/>
              <w:rPr>
                <w:rFonts w:ascii="宋体" w:hAnsi="宋体" w:cs="宋体"/>
                <w:sz w:val="18"/>
                <w:szCs w:val="18"/>
              </w:rPr>
            </w:pPr>
            <w:r>
              <w:rPr>
                <w:rFonts w:hint="eastAsia" w:ascii="宋体" w:hAnsi="宋体" w:cs="宋体"/>
                <w:sz w:val="18"/>
                <w:szCs w:val="18"/>
              </w:rPr>
              <w:t>了解通信网络安全问题本质成因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30" w:type="dxa"/>
            <w:vAlign w:val="center"/>
          </w:tcPr>
          <w:p>
            <w:pPr>
              <w:pStyle w:val="60"/>
              <w:ind w:firstLine="0" w:firstLineChars="0"/>
              <w:jc w:val="center"/>
              <w:rPr>
                <w:rFonts w:ascii="黑体" w:hAnsi="黑体" w:eastAsia="黑体" w:cs="黑体"/>
                <w:sz w:val="18"/>
                <w:szCs w:val="18"/>
              </w:rPr>
            </w:pPr>
            <w:r>
              <w:rPr>
                <w:rFonts w:hint="eastAsia" w:ascii="黑体" w:hAnsi="黑体" w:eastAsia="黑体" w:cs="黑体"/>
                <w:sz w:val="18"/>
                <w:szCs w:val="18"/>
              </w:rPr>
              <w:t>2</w:t>
            </w:r>
          </w:p>
        </w:tc>
        <w:tc>
          <w:tcPr>
            <w:tcW w:w="1847" w:type="dxa"/>
            <w:vAlign w:val="center"/>
          </w:tcPr>
          <w:p>
            <w:pPr>
              <w:pStyle w:val="60"/>
              <w:ind w:firstLine="0" w:firstLineChars="0"/>
              <w:jc w:val="left"/>
              <w:rPr>
                <w:rFonts w:ascii="宋体" w:hAnsi="宋体" w:cs="宋体"/>
                <w:sz w:val="18"/>
                <w:szCs w:val="18"/>
              </w:rPr>
            </w:pPr>
            <w:r>
              <w:rPr>
                <w:rFonts w:hint="eastAsia" w:ascii="宋体" w:hAnsi="宋体" w:cs="宋体"/>
                <w:sz w:val="18"/>
                <w:szCs w:val="18"/>
              </w:rPr>
              <w:t>通信协议及应用</w:t>
            </w:r>
          </w:p>
        </w:tc>
        <w:tc>
          <w:tcPr>
            <w:tcW w:w="6434" w:type="dxa"/>
            <w:vAlign w:val="center"/>
          </w:tcPr>
          <w:p>
            <w:pPr>
              <w:pStyle w:val="60"/>
              <w:ind w:firstLine="0" w:firstLineChars="0"/>
              <w:jc w:val="left"/>
              <w:rPr>
                <w:rFonts w:ascii="宋体" w:hAnsi="宋体" w:cs="宋体"/>
                <w:sz w:val="18"/>
                <w:szCs w:val="18"/>
              </w:rPr>
            </w:pPr>
            <w:r>
              <w:rPr>
                <w:rFonts w:hint="eastAsia" w:ascii="宋体" w:hAnsi="宋体" w:cs="宋体"/>
                <w:sz w:val="18"/>
                <w:szCs w:val="18"/>
              </w:rPr>
              <w:t>熟悉 OSI 七层模型</w:t>
            </w:r>
          </w:p>
          <w:p>
            <w:pPr>
              <w:pStyle w:val="60"/>
              <w:ind w:firstLine="0" w:firstLineChars="0"/>
              <w:jc w:val="left"/>
              <w:rPr>
                <w:rFonts w:ascii="宋体" w:hAnsi="宋体" w:cs="宋体"/>
                <w:sz w:val="18"/>
                <w:szCs w:val="18"/>
              </w:rPr>
            </w:pPr>
            <w:r>
              <w:rPr>
                <w:rFonts w:hint="eastAsia" w:ascii="宋体" w:hAnsi="宋体" w:cs="宋体"/>
                <w:sz w:val="18"/>
                <w:szCs w:val="18"/>
              </w:rPr>
              <w:t>熟悉 TCP/IP 协议族的基本协议及</w:t>
            </w:r>
          </w:p>
          <w:p>
            <w:pPr>
              <w:pStyle w:val="60"/>
              <w:ind w:firstLine="0" w:firstLineChars="0"/>
              <w:jc w:val="left"/>
              <w:rPr>
                <w:rFonts w:ascii="宋体" w:hAnsi="宋体" w:cs="宋体"/>
                <w:sz w:val="18"/>
                <w:szCs w:val="18"/>
              </w:rPr>
            </w:pPr>
            <w:r>
              <w:rPr>
                <w:rFonts w:hint="eastAsia" w:ascii="宋体" w:hAnsi="宋体" w:cs="宋体"/>
                <w:sz w:val="18"/>
                <w:szCs w:val="18"/>
              </w:rPr>
              <w:t>TCP/IP 协议族存在的固有安全问题</w:t>
            </w:r>
          </w:p>
          <w:p>
            <w:pPr>
              <w:pStyle w:val="60"/>
              <w:ind w:firstLine="0" w:firstLineChars="0"/>
              <w:jc w:val="left"/>
              <w:rPr>
                <w:rFonts w:ascii="宋体" w:hAnsi="宋体" w:cs="宋体"/>
                <w:sz w:val="18"/>
                <w:szCs w:val="18"/>
              </w:rPr>
            </w:pPr>
            <w:r>
              <w:rPr>
                <w:rFonts w:hint="eastAsia" w:ascii="宋体" w:hAnsi="宋体" w:cs="宋体"/>
                <w:sz w:val="18"/>
                <w:szCs w:val="18"/>
              </w:rPr>
              <w:t>熟悉 IPv6、移动互联网等技术及应用</w:t>
            </w:r>
          </w:p>
          <w:p>
            <w:pPr>
              <w:pStyle w:val="60"/>
              <w:ind w:firstLine="0" w:firstLineChars="0"/>
              <w:jc w:val="left"/>
              <w:rPr>
                <w:rFonts w:ascii="宋体" w:hAnsi="宋体" w:cs="宋体"/>
                <w:sz w:val="18"/>
                <w:szCs w:val="18"/>
              </w:rPr>
            </w:pPr>
            <w:r>
              <w:rPr>
                <w:rFonts w:hint="eastAsia" w:ascii="宋体" w:hAnsi="宋体" w:cs="宋体"/>
                <w:sz w:val="18"/>
                <w:szCs w:val="18"/>
              </w:rPr>
              <w:t>了解典型的通信网络及设备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930" w:type="dxa"/>
            <w:vAlign w:val="center"/>
          </w:tcPr>
          <w:p>
            <w:pPr>
              <w:pStyle w:val="60"/>
              <w:ind w:firstLine="0" w:firstLineChars="0"/>
              <w:jc w:val="center"/>
              <w:rPr>
                <w:rFonts w:ascii="黑体" w:hAnsi="黑体" w:eastAsia="黑体" w:cs="黑体"/>
                <w:sz w:val="18"/>
                <w:szCs w:val="18"/>
              </w:rPr>
            </w:pPr>
            <w:r>
              <w:rPr>
                <w:rFonts w:hint="eastAsia" w:ascii="黑体" w:hAnsi="黑体" w:eastAsia="黑体" w:cs="黑体"/>
                <w:sz w:val="18"/>
                <w:szCs w:val="18"/>
              </w:rPr>
              <w:t>3</w:t>
            </w:r>
          </w:p>
        </w:tc>
        <w:tc>
          <w:tcPr>
            <w:tcW w:w="1847" w:type="dxa"/>
            <w:vAlign w:val="center"/>
          </w:tcPr>
          <w:p>
            <w:pPr>
              <w:pStyle w:val="60"/>
              <w:ind w:firstLine="0" w:firstLineChars="0"/>
              <w:jc w:val="left"/>
              <w:rPr>
                <w:rFonts w:ascii="宋体" w:hAnsi="宋体" w:cs="宋体"/>
                <w:sz w:val="18"/>
                <w:szCs w:val="18"/>
              </w:rPr>
            </w:pPr>
            <w:r>
              <w:rPr>
                <w:rFonts w:hint="eastAsia" w:ascii="宋体" w:hAnsi="宋体" w:cs="宋体"/>
                <w:sz w:val="18"/>
                <w:szCs w:val="18"/>
              </w:rPr>
              <w:t>安全通信协议</w:t>
            </w:r>
          </w:p>
        </w:tc>
        <w:tc>
          <w:tcPr>
            <w:tcW w:w="6434" w:type="dxa"/>
            <w:vAlign w:val="center"/>
          </w:tcPr>
          <w:p>
            <w:pPr>
              <w:pStyle w:val="60"/>
              <w:ind w:firstLine="0" w:firstLineChars="0"/>
              <w:jc w:val="left"/>
              <w:rPr>
                <w:rFonts w:ascii="宋体" w:hAnsi="宋体" w:cs="宋体"/>
                <w:sz w:val="18"/>
                <w:szCs w:val="18"/>
              </w:rPr>
            </w:pPr>
            <w:r>
              <w:rPr>
                <w:rFonts w:hint="eastAsia" w:ascii="宋体" w:hAnsi="宋体" w:cs="宋体"/>
                <w:sz w:val="18"/>
                <w:szCs w:val="18"/>
              </w:rPr>
              <w:t>了解典型的安全通信协议</w:t>
            </w:r>
          </w:p>
          <w:p>
            <w:pPr>
              <w:pStyle w:val="60"/>
              <w:ind w:firstLine="0" w:firstLineChars="0"/>
              <w:jc w:val="left"/>
              <w:rPr>
                <w:rFonts w:ascii="宋体" w:hAnsi="宋体" w:cs="宋体"/>
                <w:sz w:val="18"/>
                <w:szCs w:val="18"/>
              </w:rPr>
            </w:pPr>
            <w:r>
              <w:rPr>
                <w:rFonts w:hint="eastAsia" w:ascii="宋体" w:hAnsi="宋体" w:cs="宋体"/>
                <w:sz w:val="18"/>
                <w:szCs w:val="18"/>
              </w:rPr>
              <w:t>了解典型的安全通信协议在通信过程中的应用</w:t>
            </w:r>
          </w:p>
        </w:tc>
      </w:tr>
    </w:tbl>
    <w:p>
      <w:pPr>
        <w:pStyle w:val="60"/>
        <w:ind w:firstLine="0" w:firstLineChars="0"/>
      </w:pPr>
    </w:p>
    <w:p>
      <w:pPr>
        <w:pStyle w:val="60"/>
        <w:spacing w:after="158" w:afterLines="50"/>
        <w:ind w:left="378" w:hanging="378" w:hangingChars="180"/>
        <w:outlineLvl w:val="0"/>
        <w:rPr>
          <w:rFonts w:ascii="黑体" w:hAnsi="黑体" w:eastAsia="黑体" w:cs="黑体"/>
          <w:color w:val="000000"/>
        </w:rPr>
      </w:pPr>
      <w:bookmarkStart w:id="129" w:name="_Toc30156"/>
      <w:bookmarkStart w:id="130" w:name="_Toc1263"/>
      <w:bookmarkStart w:id="131" w:name="_Toc25314"/>
      <w:r>
        <w:rPr>
          <w:rFonts w:hint="eastAsia" w:ascii="黑体" w:hAnsi="黑体" w:eastAsia="黑体" w:cs="黑体"/>
        </w:rPr>
        <w:t>H.3.3</w:t>
      </w:r>
      <w:r>
        <w:rPr>
          <w:rFonts w:hint="eastAsia" w:ascii="黑体" w:hAnsi="黑体" w:eastAsia="黑体" w:cs="黑体"/>
          <w:color w:val="000000"/>
        </w:rPr>
        <w:t xml:space="preserve"> 网络安全应急响应</w:t>
      </w:r>
      <w:bookmarkEnd w:id="129"/>
      <w:bookmarkEnd w:id="130"/>
      <w:bookmarkEnd w:id="131"/>
    </w:p>
    <w:p>
      <w:pPr>
        <w:pStyle w:val="60"/>
        <w:spacing w:after="158" w:afterLines="50"/>
        <w:ind w:left="378" w:hanging="378" w:hangingChars="180"/>
        <w:jc w:val="center"/>
        <w:outlineLvl w:val="0"/>
        <w:rPr>
          <w:rFonts w:ascii="黑体" w:hAnsi="黑体" w:eastAsia="黑体" w:cs="黑体"/>
          <w:b/>
          <w:bCs/>
          <w:color w:val="000000"/>
        </w:rPr>
      </w:pPr>
      <w:bookmarkStart w:id="132" w:name="_Toc5105"/>
      <w:bookmarkStart w:id="133" w:name="_Toc8800"/>
      <w:bookmarkStart w:id="134" w:name="_Toc9806"/>
      <w:r>
        <w:rPr>
          <w:rFonts w:hint="eastAsia" w:ascii="黑体" w:hAnsi="黑体" w:eastAsia="黑体" w:cs="黑体"/>
          <w:color w:val="000000"/>
        </w:rPr>
        <w:t>表H.4 网络安全应急响应课程内容与要求</w:t>
      </w:r>
      <w:bookmarkEnd w:id="132"/>
      <w:bookmarkEnd w:id="133"/>
      <w:bookmarkEnd w:id="134"/>
    </w:p>
    <w:tbl>
      <w:tblPr>
        <w:tblStyle w:val="28"/>
        <w:tblW w:w="9268"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47"/>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60"/>
              <w:spacing w:line="288" w:lineRule="auto"/>
              <w:ind w:firstLine="0" w:firstLineChars="0"/>
              <w:jc w:val="center"/>
              <w:rPr>
                <w:rFonts w:ascii="黑体" w:hAnsi="黑体" w:eastAsia="黑体" w:cs="黑体"/>
                <w:color w:val="000000"/>
              </w:rPr>
            </w:pPr>
            <w:r>
              <w:rPr>
                <w:rFonts w:hint="eastAsia" w:ascii="黑体" w:hAnsi="黑体" w:eastAsia="黑体" w:cs="黑体"/>
                <w:color w:val="000000"/>
              </w:rPr>
              <w:t>章节号</w:t>
            </w:r>
          </w:p>
        </w:tc>
        <w:tc>
          <w:tcPr>
            <w:tcW w:w="1847" w:type="dxa"/>
            <w:vAlign w:val="center"/>
          </w:tcPr>
          <w:p>
            <w:pPr>
              <w:pStyle w:val="60"/>
              <w:spacing w:line="288" w:lineRule="auto"/>
              <w:ind w:firstLine="0" w:firstLineChars="0"/>
              <w:jc w:val="center"/>
              <w:rPr>
                <w:rFonts w:ascii="黑体" w:hAnsi="黑体" w:eastAsia="黑体" w:cs="黑体"/>
                <w:color w:val="000000"/>
              </w:rPr>
            </w:pPr>
            <w:r>
              <w:rPr>
                <w:rFonts w:hint="eastAsia" w:ascii="黑体" w:hAnsi="黑体" w:eastAsia="黑体" w:cs="黑体"/>
                <w:color w:val="000000"/>
              </w:rPr>
              <w:t>章节名</w:t>
            </w:r>
          </w:p>
        </w:tc>
        <w:tc>
          <w:tcPr>
            <w:tcW w:w="6461" w:type="dxa"/>
            <w:vAlign w:val="center"/>
          </w:tcPr>
          <w:p>
            <w:pPr>
              <w:pStyle w:val="60"/>
              <w:spacing w:line="288" w:lineRule="auto"/>
              <w:ind w:firstLine="0" w:firstLineChars="0"/>
              <w:jc w:val="center"/>
              <w:rPr>
                <w:rFonts w:ascii="黑体" w:hAnsi="黑体" w:eastAsia="黑体" w:cs="黑体"/>
                <w:color w:val="000000"/>
              </w:rPr>
            </w:pPr>
            <w:r>
              <w:rPr>
                <w:rFonts w:hint="eastAsia" w:ascii="黑体" w:hAnsi="黑体" w:eastAsia="黑体" w:cs="黑体"/>
                <w:color w:val="00000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60"/>
              <w:spacing w:line="288" w:lineRule="auto"/>
              <w:ind w:firstLine="0" w:firstLineChars="0"/>
              <w:jc w:val="center"/>
              <w:rPr>
                <w:rFonts w:ascii="宋体" w:hAnsi="宋体" w:cs="宋体"/>
                <w:sz w:val="18"/>
                <w:szCs w:val="18"/>
              </w:rPr>
            </w:pPr>
            <w:r>
              <w:rPr>
                <w:rFonts w:hint="eastAsia" w:ascii="宋体" w:hAnsi="宋体" w:cs="宋体"/>
                <w:sz w:val="18"/>
                <w:szCs w:val="18"/>
              </w:rPr>
              <w:t>1</w:t>
            </w:r>
          </w:p>
        </w:tc>
        <w:tc>
          <w:tcPr>
            <w:tcW w:w="1847"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网络安全应急响应技术概念</w:t>
            </w:r>
          </w:p>
        </w:tc>
        <w:tc>
          <w:tcPr>
            <w:tcW w:w="6461" w:type="dxa"/>
            <w:vAlign w:val="center"/>
          </w:tcPr>
          <w:p>
            <w:pPr>
              <w:pStyle w:val="60"/>
              <w:spacing w:line="288" w:lineRule="auto"/>
              <w:ind w:firstLine="0" w:firstLineChars="0"/>
              <w:jc w:val="left"/>
              <w:rPr>
                <w:rFonts w:ascii="宋体" w:hAnsi="宋体" w:cs="宋体"/>
                <w:sz w:val="18"/>
                <w:szCs w:val="18"/>
              </w:rPr>
            </w:pPr>
            <w:r>
              <w:rPr>
                <w:rFonts w:hint="eastAsia" w:ascii="宋体" w:hAnsi="宋体" w:cs="宋体"/>
                <w:sz w:val="18"/>
                <w:szCs w:val="18"/>
              </w:rPr>
              <w:t>了解网络安全应急响应的含义和相关法规</w:t>
            </w:r>
          </w:p>
          <w:p>
            <w:pPr>
              <w:spacing w:line="288" w:lineRule="auto"/>
              <w:jc w:val="left"/>
              <w:rPr>
                <w:rFonts w:ascii="宋体" w:hAnsi="宋体" w:eastAsia="宋体" w:cs="宋体"/>
                <w:sz w:val="18"/>
                <w:szCs w:val="18"/>
              </w:rPr>
            </w:pPr>
            <w:r>
              <w:rPr>
                <w:rFonts w:hint="eastAsia" w:ascii="宋体" w:hAnsi="宋体" w:eastAsia="宋体" w:cs="宋体"/>
                <w:sz w:val="18"/>
                <w:szCs w:val="18"/>
              </w:rPr>
              <w:t>了解网络安全应急响应技术的发展趋势</w:t>
            </w:r>
          </w:p>
          <w:p>
            <w:pPr>
              <w:spacing w:line="288" w:lineRule="auto"/>
              <w:jc w:val="left"/>
              <w:rPr>
                <w:rFonts w:ascii="宋体" w:hAnsi="宋体" w:eastAsia="宋体" w:cs="宋体"/>
                <w:sz w:val="18"/>
                <w:szCs w:val="18"/>
              </w:rPr>
            </w:pPr>
            <w:r>
              <w:rPr>
                <w:rFonts w:hint="eastAsia" w:ascii="宋体" w:hAnsi="宋体" w:eastAsia="宋体" w:cs="宋体"/>
                <w:sz w:val="18"/>
                <w:szCs w:val="18"/>
              </w:rPr>
              <w:t>了解网络安全应急响应技术框架</w:t>
            </w:r>
          </w:p>
          <w:p>
            <w:pPr>
              <w:spacing w:line="288" w:lineRule="auto"/>
              <w:jc w:val="left"/>
              <w:rPr>
                <w:rFonts w:ascii="宋体" w:hAnsi="宋体" w:eastAsia="宋体" w:cs="宋体"/>
                <w:sz w:val="18"/>
                <w:szCs w:val="18"/>
              </w:rPr>
            </w:pPr>
            <w:r>
              <w:rPr>
                <w:rFonts w:hint="eastAsia" w:ascii="宋体" w:hAnsi="宋体" w:eastAsia="宋体" w:cs="宋体"/>
                <w:sz w:val="18"/>
                <w:szCs w:val="18"/>
              </w:rPr>
              <w:t>了解网络安全应急响应新发展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60"/>
              <w:spacing w:line="288" w:lineRule="auto"/>
              <w:ind w:firstLine="0" w:firstLineChars="0"/>
              <w:jc w:val="center"/>
              <w:rPr>
                <w:rFonts w:ascii="宋体" w:hAnsi="宋体" w:cs="宋体"/>
                <w:sz w:val="18"/>
                <w:szCs w:val="18"/>
              </w:rPr>
            </w:pPr>
            <w:r>
              <w:rPr>
                <w:rFonts w:hint="eastAsia" w:ascii="宋体" w:hAnsi="宋体" w:cs="宋体"/>
                <w:sz w:val="18"/>
                <w:szCs w:val="18"/>
              </w:rPr>
              <w:t>2</w:t>
            </w:r>
          </w:p>
        </w:tc>
        <w:tc>
          <w:tcPr>
            <w:tcW w:w="1847"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网络安全应急响应技术基础知识</w:t>
            </w:r>
          </w:p>
        </w:tc>
        <w:tc>
          <w:tcPr>
            <w:tcW w:w="6461"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掌握风险评估相关概念、流程</w:t>
            </w:r>
          </w:p>
          <w:p>
            <w:pPr>
              <w:pStyle w:val="60"/>
              <w:spacing w:line="288" w:lineRule="auto"/>
              <w:ind w:firstLine="0" w:firstLineChars="0"/>
              <w:jc w:val="left"/>
              <w:rPr>
                <w:rFonts w:ascii="宋体" w:hAnsi="宋体" w:cs="宋体"/>
                <w:sz w:val="18"/>
                <w:szCs w:val="18"/>
              </w:rPr>
            </w:pPr>
            <w:r>
              <w:rPr>
                <w:rFonts w:hint="eastAsia" w:ascii="宋体" w:hAnsi="宋体" w:cs="宋体"/>
                <w:sz w:val="18"/>
                <w:szCs w:val="18"/>
              </w:rPr>
              <w:t>了解风险评估与应急响应的关系</w:t>
            </w:r>
          </w:p>
          <w:p>
            <w:pPr>
              <w:pStyle w:val="60"/>
              <w:spacing w:line="288" w:lineRule="auto"/>
              <w:ind w:firstLine="0" w:firstLineChars="0"/>
              <w:jc w:val="left"/>
              <w:rPr>
                <w:rFonts w:ascii="宋体" w:hAnsi="宋体" w:cs="宋体"/>
                <w:sz w:val="18"/>
                <w:szCs w:val="18"/>
              </w:rPr>
            </w:pPr>
            <w:r>
              <w:rPr>
                <w:rFonts w:hint="eastAsia" w:ascii="宋体" w:hAnsi="宋体" w:cs="宋体"/>
                <w:sz w:val="18"/>
                <w:szCs w:val="18"/>
              </w:rPr>
              <w:t>了解安全事件分级分类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60"/>
              <w:spacing w:line="288" w:lineRule="auto"/>
              <w:ind w:firstLine="0" w:firstLineChars="0"/>
              <w:jc w:val="center"/>
              <w:rPr>
                <w:rFonts w:ascii="宋体" w:hAnsi="宋体" w:cs="宋体"/>
                <w:sz w:val="18"/>
                <w:szCs w:val="18"/>
              </w:rPr>
            </w:pPr>
            <w:r>
              <w:rPr>
                <w:rFonts w:hint="eastAsia" w:ascii="宋体" w:hAnsi="宋体" w:cs="宋体"/>
                <w:sz w:val="18"/>
                <w:szCs w:val="18"/>
              </w:rPr>
              <w:t>3</w:t>
            </w:r>
          </w:p>
        </w:tc>
        <w:tc>
          <w:tcPr>
            <w:tcW w:w="1847"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网络安全应急响应技术流程与方法</w:t>
            </w:r>
          </w:p>
        </w:tc>
        <w:tc>
          <w:tcPr>
            <w:tcW w:w="6461"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熟练掌握应急响应准备阶段、抑制阶段、保护阶段、事件检测阶段、取证阶段、根除阶段、恢复阶段、总结报告等各阶段知识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0" w:type="dxa"/>
            <w:vAlign w:val="center"/>
          </w:tcPr>
          <w:p>
            <w:pPr>
              <w:pStyle w:val="60"/>
              <w:spacing w:line="288" w:lineRule="auto"/>
              <w:ind w:firstLine="0" w:firstLineChars="0"/>
              <w:jc w:val="center"/>
              <w:rPr>
                <w:rFonts w:ascii="宋体" w:hAnsi="宋体" w:cs="宋体"/>
                <w:sz w:val="18"/>
                <w:szCs w:val="18"/>
              </w:rPr>
            </w:pPr>
            <w:r>
              <w:rPr>
                <w:rFonts w:hint="eastAsia" w:ascii="宋体" w:hAnsi="宋体" w:cs="宋体"/>
                <w:sz w:val="18"/>
                <w:szCs w:val="18"/>
              </w:rPr>
              <w:t>4</w:t>
            </w:r>
          </w:p>
        </w:tc>
        <w:tc>
          <w:tcPr>
            <w:tcW w:w="1847"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应急演练</w:t>
            </w:r>
          </w:p>
        </w:tc>
        <w:tc>
          <w:tcPr>
            <w:tcW w:w="6461" w:type="dxa"/>
            <w:vAlign w:val="center"/>
          </w:tcPr>
          <w:p>
            <w:pPr>
              <w:pStyle w:val="25"/>
              <w:shd w:val="clear" w:color="auto" w:fill="FFFFFF"/>
              <w:spacing w:before="0" w:beforeAutospacing="0" w:after="0" w:afterAutospacing="0" w:line="288" w:lineRule="auto"/>
              <w:rPr>
                <w:sz w:val="18"/>
                <w:szCs w:val="18"/>
              </w:rPr>
            </w:pPr>
            <w:r>
              <w:rPr>
                <w:rFonts w:hint="eastAsia"/>
                <w:sz w:val="18"/>
                <w:szCs w:val="18"/>
              </w:rPr>
              <w:t>了解应急演练定义、目的、原则</w:t>
            </w:r>
          </w:p>
          <w:p>
            <w:pPr>
              <w:pStyle w:val="25"/>
              <w:shd w:val="clear" w:color="auto" w:fill="FFFFFF"/>
              <w:spacing w:before="0" w:beforeAutospacing="0" w:after="0" w:afterAutospacing="0" w:line="288" w:lineRule="auto"/>
              <w:rPr>
                <w:sz w:val="18"/>
                <w:szCs w:val="18"/>
              </w:rPr>
            </w:pPr>
            <w:r>
              <w:rPr>
                <w:rFonts w:hint="eastAsia"/>
                <w:sz w:val="18"/>
                <w:szCs w:val="18"/>
              </w:rPr>
              <w:t>了解应急演练分类及方法</w:t>
            </w:r>
          </w:p>
          <w:p>
            <w:pPr>
              <w:pStyle w:val="25"/>
              <w:shd w:val="clear" w:color="auto" w:fill="FFFFFF"/>
              <w:spacing w:before="0" w:beforeAutospacing="0" w:after="0" w:afterAutospacing="0" w:line="288" w:lineRule="auto"/>
              <w:rPr>
                <w:sz w:val="18"/>
                <w:szCs w:val="18"/>
              </w:rPr>
            </w:pPr>
            <w:r>
              <w:rPr>
                <w:rFonts w:hint="eastAsia"/>
                <w:sz w:val="18"/>
                <w:szCs w:val="18"/>
              </w:rPr>
              <w:t>了解应急演练的组织架构</w:t>
            </w:r>
          </w:p>
          <w:p>
            <w:pPr>
              <w:pStyle w:val="25"/>
              <w:shd w:val="clear" w:color="auto" w:fill="FFFFFF"/>
              <w:spacing w:before="0" w:beforeAutospacing="0" w:after="0" w:afterAutospacing="0" w:line="288" w:lineRule="auto"/>
              <w:rPr>
                <w:sz w:val="18"/>
                <w:szCs w:val="18"/>
              </w:rPr>
            </w:pPr>
            <w:r>
              <w:rPr>
                <w:rFonts w:hint="eastAsia"/>
                <w:sz w:val="18"/>
                <w:szCs w:val="18"/>
              </w:rPr>
              <w:t>了解应急演练流程和规划</w:t>
            </w:r>
          </w:p>
          <w:p>
            <w:pPr>
              <w:pStyle w:val="25"/>
              <w:shd w:val="clear" w:color="auto" w:fill="FFFFFF"/>
              <w:spacing w:before="0" w:beforeAutospacing="0" w:after="0" w:afterAutospacing="0" w:line="288" w:lineRule="auto"/>
              <w:rPr>
                <w:sz w:val="18"/>
                <w:szCs w:val="18"/>
              </w:rPr>
            </w:pPr>
            <w:r>
              <w:rPr>
                <w:rFonts w:hint="eastAsia"/>
                <w:sz w:val="18"/>
                <w:szCs w:val="18"/>
              </w:rPr>
              <w:t>掌握应急演练的实施和总结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60"/>
              <w:spacing w:line="288" w:lineRule="auto"/>
              <w:ind w:firstLine="0" w:firstLineChars="0"/>
              <w:jc w:val="center"/>
              <w:rPr>
                <w:rFonts w:ascii="宋体" w:hAnsi="宋体" w:cs="宋体"/>
                <w:sz w:val="18"/>
                <w:szCs w:val="18"/>
              </w:rPr>
            </w:pPr>
            <w:r>
              <w:rPr>
                <w:rFonts w:hint="eastAsia" w:ascii="宋体" w:hAnsi="宋体" w:cs="宋体"/>
                <w:sz w:val="18"/>
                <w:szCs w:val="18"/>
              </w:rPr>
              <w:t>5</w:t>
            </w:r>
          </w:p>
        </w:tc>
        <w:tc>
          <w:tcPr>
            <w:tcW w:w="1847" w:type="dxa"/>
            <w:vAlign w:val="center"/>
          </w:tcPr>
          <w:p>
            <w:pPr>
              <w:pStyle w:val="25"/>
              <w:shd w:val="clear" w:color="auto" w:fill="FFFFFF"/>
              <w:spacing w:before="0" w:beforeAutospacing="0" w:after="0" w:afterAutospacing="0" w:line="288" w:lineRule="auto"/>
              <w:rPr>
                <w:sz w:val="18"/>
                <w:szCs w:val="18"/>
              </w:rPr>
            </w:pPr>
            <w:r>
              <w:rPr>
                <w:rFonts w:hint="eastAsia"/>
                <w:sz w:val="18"/>
                <w:szCs w:val="18"/>
              </w:rPr>
              <w:t>网络安全事件应急处置实战</w:t>
            </w:r>
          </w:p>
        </w:tc>
        <w:tc>
          <w:tcPr>
            <w:tcW w:w="6461" w:type="dxa"/>
            <w:vAlign w:val="center"/>
          </w:tcPr>
          <w:p>
            <w:pPr>
              <w:pStyle w:val="25"/>
              <w:shd w:val="clear" w:color="auto" w:fill="FFFFFF"/>
              <w:spacing w:before="0" w:beforeAutospacing="0" w:after="0" w:afterAutospacing="0" w:line="288" w:lineRule="auto"/>
              <w:rPr>
                <w:sz w:val="18"/>
                <w:szCs w:val="18"/>
              </w:rPr>
            </w:pPr>
            <w:r>
              <w:rPr>
                <w:rFonts w:hint="eastAsia"/>
                <w:sz w:val="18"/>
                <w:szCs w:val="18"/>
              </w:rPr>
              <w:t>掌握常见Web 攻击应急处置实战知识</w:t>
            </w:r>
          </w:p>
          <w:p>
            <w:pPr>
              <w:pStyle w:val="25"/>
              <w:shd w:val="clear" w:color="auto" w:fill="FFFFFF"/>
              <w:spacing w:before="0" w:beforeAutospacing="0" w:after="0" w:afterAutospacing="0" w:line="288" w:lineRule="auto"/>
              <w:rPr>
                <w:sz w:val="18"/>
                <w:szCs w:val="18"/>
              </w:rPr>
            </w:pPr>
            <w:r>
              <w:rPr>
                <w:rFonts w:hint="eastAsia"/>
                <w:sz w:val="18"/>
                <w:szCs w:val="18"/>
              </w:rPr>
              <w:t>掌握信息泄露类攻击应急处置实战知识</w:t>
            </w:r>
          </w:p>
          <w:p>
            <w:pPr>
              <w:pStyle w:val="25"/>
              <w:shd w:val="clear" w:color="auto" w:fill="FFFFFF"/>
              <w:spacing w:before="0" w:beforeAutospacing="0" w:after="0" w:afterAutospacing="0" w:line="288" w:lineRule="auto"/>
              <w:rPr>
                <w:sz w:val="18"/>
                <w:szCs w:val="18"/>
              </w:rPr>
            </w:pPr>
            <w:r>
              <w:rPr>
                <w:rFonts w:hint="eastAsia"/>
                <w:sz w:val="18"/>
                <w:szCs w:val="18"/>
              </w:rPr>
              <w:t>掌握主机类攻击应急处置实战知识</w:t>
            </w:r>
          </w:p>
          <w:p>
            <w:pPr>
              <w:pStyle w:val="25"/>
              <w:shd w:val="clear" w:color="auto" w:fill="FFFFFF"/>
              <w:spacing w:before="0" w:beforeAutospacing="0" w:after="0" w:afterAutospacing="0" w:line="288" w:lineRule="auto"/>
              <w:rPr>
                <w:sz w:val="18"/>
                <w:szCs w:val="18"/>
              </w:rPr>
            </w:pPr>
            <w:r>
              <w:rPr>
                <w:rFonts w:hint="eastAsia"/>
                <w:sz w:val="18"/>
                <w:szCs w:val="18"/>
              </w:rPr>
              <w:t>掌握有害事件应急处置实战知识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Align w:val="center"/>
          </w:tcPr>
          <w:p>
            <w:pPr>
              <w:pStyle w:val="60"/>
              <w:spacing w:line="288" w:lineRule="auto"/>
              <w:ind w:firstLine="0" w:firstLineChars="0"/>
              <w:jc w:val="center"/>
              <w:rPr>
                <w:rFonts w:ascii="宋体" w:hAnsi="宋体" w:cs="宋体"/>
                <w:sz w:val="18"/>
                <w:szCs w:val="18"/>
              </w:rPr>
            </w:pPr>
            <w:r>
              <w:rPr>
                <w:rFonts w:hint="eastAsia" w:ascii="宋体" w:hAnsi="宋体" w:cs="宋体"/>
                <w:sz w:val="18"/>
                <w:szCs w:val="18"/>
              </w:rPr>
              <w:t>6</w:t>
            </w:r>
          </w:p>
        </w:tc>
        <w:tc>
          <w:tcPr>
            <w:tcW w:w="1847" w:type="dxa"/>
            <w:vAlign w:val="center"/>
          </w:tcPr>
          <w:p>
            <w:pPr>
              <w:spacing w:line="288" w:lineRule="auto"/>
              <w:jc w:val="left"/>
              <w:rPr>
                <w:rFonts w:ascii="宋体" w:hAnsi="宋体" w:eastAsia="宋体" w:cs="宋体"/>
                <w:sz w:val="18"/>
                <w:szCs w:val="18"/>
              </w:rPr>
            </w:pPr>
            <w:r>
              <w:rPr>
                <w:rFonts w:hint="eastAsia" w:ascii="宋体" w:hAnsi="宋体" w:eastAsia="宋体" w:cs="宋体"/>
                <w:sz w:val="18"/>
                <w:szCs w:val="18"/>
              </w:rPr>
              <w:t>分析排查</w:t>
            </w:r>
          </w:p>
        </w:tc>
        <w:tc>
          <w:tcPr>
            <w:tcW w:w="6461" w:type="dxa"/>
            <w:vAlign w:val="center"/>
          </w:tcPr>
          <w:p>
            <w:pPr>
              <w:pStyle w:val="25"/>
              <w:shd w:val="clear" w:color="auto" w:fill="FFFFFF"/>
              <w:spacing w:before="0" w:beforeAutospacing="0" w:after="0" w:afterAutospacing="0" w:line="288" w:lineRule="auto"/>
              <w:rPr>
                <w:sz w:val="18"/>
                <w:szCs w:val="18"/>
              </w:rPr>
            </w:pPr>
            <w:r>
              <w:rPr>
                <w:rFonts w:hint="eastAsia"/>
                <w:sz w:val="18"/>
                <w:szCs w:val="18"/>
              </w:rPr>
              <w:t>掌握windows/Linux的分析排查知识</w:t>
            </w:r>
          </w:p>
        </w:tc>
      </w:tr>
    </w:tbl>
    <w:p>
      <w:pPr>
        <w:pStyle w:val="60"/>
        <w:ind w:left="380" w:firstLine="0" w:firstLineChars="0"/>
        <w:rPr>
          <w:rFonts w:ascii="宋体" w:hAnsi="宋体"/>
          <w:color w:val="000000"/>
        </w:rPr>
      </w:pPr>
    </w:p>
    <w:p/>
    <w:p/>
    <w:p/>
    <w:p/>
    <w:p>
      <w:pPr>
        <w:widowControl/>
        <w:jc w:val="left"/>
        <w:rPr>
          <w:rFonts w:ascii="黑体" w:hAnsi="黑体" w:eastAsia="黑体" w:cs="黑体"/>
          <w:szCs w:val="21"/>
        </w:rPr>
      </w:pPr>
      <w:r>
        <w:rPr>
          <w:rFonts w:ascii="黑体" w:hAnsi="黑体" w:eastAsia="黑体" w:cs="黑体"/>
          <w:szCs w:val="21"/>
        </w:rPr>
        <w:br w:type="page"/>
      </w:r>
    </w:p>
    <w:p>
      <w:pPr>
        <w:spacing w:line="360" w:lineRule="auto"/>
        <w:jc w:val="center"/>
        <w:outlineLvl w:val="0"/>
        <w:rPr>
          <w:rFonts w:ascii="黑体" w:hAnsi="黑体" w:eastAsia="黑体" w:cs="黑体"/>
          <w:kern w:val="0"/>
          <w:szCs w:val="21"/>
        </w:rPr>
      </w:pPr>
      <w:bookmarkStart w:id="135" w:name="_Toc30547"/>
      <w:r>
        <w:rPr>
          <w:rFonts w:hint="eastAsia" w:ascii="黑体" w:hAnsi="黑体" w:eastAsia="黑体" w:cs="黑体"/>
          <w:kern w:val="0"/>
          <w:szCs w:val="21"/>
        </w:rPr>
        <w:t>附 录</w:t>
      </w:r>
      <w:bookmarkStart w:id="136" w:name="_Toc13098"/>
      <w:r>
        <w:rPr>
          <w:rFonts w:hint="eastAsia" w:ascii="黑体" w:hAnsi="黑体" w:eastAsia="黑体" w:cs="黑体"/>
          <w:kern w:val="0"/>
          <w:szCs w:val="21"/>
        </w:rPr>
        <w:t>I</w:t>
      </w:r>
      <w:bookmarkEnd w:id="135"/>
    </w:p>
    <w:p>
      <w:pPr>
        <w:spacing w:line="360" w:lineRule="auto"/>
        <w:jc w:val="center"/>
        <w:outlineLvl w:val="0"/>
        <w:rPr>
          <w:rFonts w:ascii="黑体" w:hAnsi="黑体" w:eastAsia="黑体" w:cs="黑体"/>
          <w:kern w:val="0"/>
          <w:szCs w:val="21"/>
        </w:rPr>
      </w:pPr>
      <w:bookmarkStart w:id="137" w:name="_Toc26639"/>
      <w:bookmarkStart w:id="138" w:name="_Toc31832"/>
      <w:r>
        <w:rPr>
          <w:rFonts w:hint="eastAsia" w:ascii="黑体" w:hAnsi="黑体" w:eastAsia="黑体" w:cs="黑体"/>
          <w:kern w:val="0"/>
          <w:szCs w:val="21"/>
        </w:rPr>
        <w:t>（规范性）</w:t>
      </w:r>
      <w:bookmarkEnd w:id="136"/>
      <w:bookmarkEnd w:id="137"/>
      <w:bookmarkEnd w:id="138"/>
    </w:p>
    <w:p>
      <w:pPr>
        <w:spacing w:line="360" w:lineRule="auto"/>
        <w:jc w:val="center"/>
        <w:outlineLvl w:val="0"/>
        <w:rPr>
          <w:rFonts w:ascii="黑体" w:hAnsi="黑体" w:eastAsia="黑体" w:cs="黑体"/>
          <w:kern w:val="0"/>
          <w:szCs w:val="21"/>
        </w:rPr>
      </w:pPr>
      <w:bookmarkStart w:id="139" w:name="_Toc2252"/>
      <w:bookmarkStart w:id="140" w:name="_Toc26944"/>
      <w:bookmarkStart w:id="141" w:name="_Toc26431"/>
      <w:r>
        <w:rPr>
          <w:rFonts w:hint="eastAsia" w:ascii="黑体" w:hAnsi="黑体" w:eastAsia="黑体" w:cs="黑体"/>
          <w:kern w:val="0"/>
          <w:szCs w:val="21"/>
        </w:rPr>
        <w:t>云计算安全考试大纲</w:t>
      </w:r>
      <w:bookmarkEnd w:id="139"/>
      <w:bookmarkEnd w:id="140"/>
      <w:bookmarkEnd w:id="141"/>
    </w:p>
    <w:p>
      <w:pPr>
        <w:pStyle w:val="36"/>
        <w:spacing w:line="360" w:lineRule="auto"/>
        <w:ind w:firstLine="0" w:firstLineChars="0"/>
        <w:rPr>
          <w:rFonts w:ascii="黑体" w:hAnsi="黑体" w:eastAsia="黑体" w:cs="黑体"/>
          <w:kern w:val="0"/>
        </w:rPr>
      </w:pPr>
      <w:r>
        <w:rPr>
          <w:rFonts w:hint="eastAsia" w:ascii="黑体" w:hAnsi="黑体" w:eastAsia="黑体" w:cs="黑体"/>
          <w:kern w:val="0"/>
        </w:rPr>
        <w:t>I.1 目的</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为使考生</w:t>
      </w:r>
      <w:r>
        <w:rPr>
          <w:rFonts w:hint="eastAsia" w:ascii="Times New Roman" w:hAnsi="Times New Roman" w:eastAsia="宋体" w:cs="Times New Roman"/>
          <w:kern w:val="0"/>
          <w:szCs w:val="21"/>
        </w:rPr>
        <w:t>达到本认证规范中网络空间安全专业人员在云计算方向二级、三级能力要求，</w:t>
      </w:r>
      <w:r>
        <w:rPr>
          <w:rFonts w:ascii="Times New Roman" w:hAnsi="Times New Roman" w:eastAsia="宋体" w:cs="Times New Roman"/>
          <w:kern w:val="0"/>
          <w:szCs w:val="21"/>
        </w:rPr>
        <w:t>指导考生有效准备考试，特制定本考试大纲</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以下简称大纲</w:t>
      </w:r>
      <w:r>
        <w:rPr>
          <w:rFonts w:hint="eastAsia" w:ascii="Times New Roman" w:hAnsi="Times New Roman" w:eastAsia="宋体" w:cs="Times New Roman"/>
          <w:kern w:val="0"/>
          <w:szCs w:val="21"/>
        </w:rPr>
        <w:t>）。</w:t>
      </w:r>
    </w:p>
    <w:p>
      <w:pPr>
        <w:pStyle w:val="36"/>
        <w:spacing w:line="360" w:lineRule="auto"/>
        <w:ind w:firstLine="0" w:firstLineChars="0"/>
        <w:rPr>
          <w:rFonts w:ascii="黑体" w:hAnsi="黑体" w:eastAsia="黑体" w:cs="黑体"/>
          <w:kern w:val="0"/>
        </w:rPr>
      </w:pPr>
      <w:r>
        <w:rPr>
          <w:rFonts w:hint="eastAsia" w:ascii="黑体" w:hAnsi="黑体" w:eastAsia="黑体" w:cs="黑体"/>
          <w:kern w:val="0"/>
        </w:rPr>
        <w:t>I.2考试内容</w:t>
      </w:r>
    </w:p>
    <w:p>
      <w:pPr>
        <w:pStyle w:val="36"/>
        <w:spacing w:line="360" w:lineRule="auto"/>
        <w:ind w:firstLine="0" w:firstLineChars="0"/>
        <w:rPr>
          <w:rFonts w:ascii="黑体" w:hAnsi="黑体" w:eastAsia="黑体" w:cs="黑体"/>
          <w:kern w:val="0"/>
        </w:rPr>
      </w:pPr>
      <w:r>
        <w:rPr>
          <w:rFonts w:hint="eastAsia" w:ascii="黑体" w:hAnsi="黑体" w:eastAsia="黑体" w:cs="黑体"/>
          <w:kern w:val="0"/>
        </w:rPr>
        <w:t>I.2.1课程要求</w:t>
      </w:r>
    </w:p>
    <w:p>
      <w:pPr>
        <w:pStyle w:val="36"/>
        <w:spacing w:after="158" w:afterLines="50"/>
        <w:ind w:firstLine="0" w:firstLineChars="0"/>
        <w:jc w:val="center"/>
        <w:rPr>
          <w:rFonts w:ascii="黑体" w:hAnsi="黑体" w:eastAsia="黑体" w:cs="黑体"/>
          <w:kern w:val="0"/>
        </w:rPr>
      </w:pPr>
      <w:r>
        <w:rPr>
          <w:rFonts w:hint="eastAsia" w:ascii="黑体" w:hAnsi="黑体" w:eastAsia="黑体" w:cs="黑体"/>
          <w:kern w:val="0"/>
        </w:rPr>
        <w:t>表I.1 课程要求</w:t>
      </w:r>
    </w:p>
    <w:tbl>
      <w:tblPr>
        <w:tblStyle w:val="28"/>
        <w:tblW w:w="919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7"/>
        <w:gridCol w:w="2835"/>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57" w:type="dxa"/>
            <w:vAlign w:val="center"/>
          </w:tcPr>
          <w:p>
            <w:pPr>
              <w:pStyle w:val="36"/>
              <w:ind w:firstLine="0" w:firstLineChars="0"/>
              <w:jc w:val="center"/>
              <w:rPr>
                <w:rFonts w:ascii="黑体" w:hAnsi="黑体" w:eastAsia="黑体" w:cs="黑体"/>
                <w:kern w:val="0"/>
                <w:sz w:val="20"/>
                <w:szCs w:val="20"/>
              </w:rPr>
            </w:pPr>
            <w:r>
              <w:rPr>
                <w:rFonts w:hint="eastAsia" w:ascii="黑体" w:hAnsi="黑体" w:eastAsia="黑体" w:cs="黑体"/>
                <w:kern w:val="0"/>
                <w:sz w:val="20"/>
                <w:szCs w:val="20"/>
              </w:rPr>
              <w:t>课程名称</w:t>
            </w:r>
          </w:p>
        </w:tc>
        <w:tc>
          <w:tcPr>
            <w:tcW w:w="2835" w:type="dxa"/>
            <w:vAlign w:val="center"/>
          </w:tcPr>
          <w:p>
            <w:pPr>
              <w:pStyle w:val="36"/>
              <w:ind w:firstLine="0" w:firstLineChars="0"/>
              <w:jc w:val="center"/>
              <w:rPr>
                <w:rFonts w:ascii="黑体" w:hAnsi="黑体" w:eastAsia="黑体" w:cs="黑体"/>
                <w:kern w:val="0"/>
                <w:sz w:val="20"/>
                <w:szCs w:val="20"/>
              </w:rPr>
            </w:pPr>
            <w:r>
              <w:rPr>
                <w:rFonts w:hint="eastAsia" w:ascii="黑体" w:hAnsi="黑体" w:eastAsia="黑体" w:cs="黑体"/>
                <w:kern w:val="0"/>
                <w:sz w:val="20"/>
                <w:szCs w:val="20"/>
              </w:rPr>
              <w:t>课程类型</w:t>
            </w:r>
          </w:p>
        </w:tc>
        <w:tc>
          <w:tcPr>
            <w:tcW w:w="2403" w:type="dxa"/>
            <w:vAlign w:val="center"/>
          </w:tcPr>
          <w:p>
            <w:pPr>
              <w:pStyle w:val="36"/>
              <w:ind w:firstLine="0" w:firstLineChars="0"/>
              <w:jc w:val="center"/>
              <w:rPr>
                <w:rFonts w:ascii="黑体" w:hAnsi="黑体" w:eastAsia="黑体" w:cs="黑体"/>
                <w:kern w:val="0"/>
                <w:sz w:val="20"/>
                <w:szCs w:val="20"/>
              </w:rPr>
            </w:pPr>
            <w:r>
              <w:rPr>
                <w:rFonts w:hint="eastAsia" w:ascii="黑体" w:hAnsi="黑体" w:eastAsia="黑体" w:cs="黑体"/>
                <w:kern w:val="0"/>
                <w:sz w:val="20"/>
                <w:szCs w:val="2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5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云计算基础</w:t>
            </w:r>
          </w:p>
        </w:tc>
        <w:tc>
          <w:tcPr>
            <w:tcW w:w="2835"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403"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95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云计算信息安全及产品</w:t>
            </w:r>
          </w:p>
        </w:tc>
        <w:tc>
          <w:tcPr>
            <w:tcW w:w="2835"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40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95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云计算信息安全管理及标准</w:t>
            </w:r>
          </w:p>
        </w:tc>
        <w:tc>
          <w:tcPr>
            <w:tcW w:w="2835"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40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95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访问控制及身份鉴别</w:t>
            </w:r>
          </w:p>
        </w:tc>
        <w:tc>
          <w:tcPr>
            <w:tcW w:w="2835"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40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95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基础设施和虚拟化安全</w:t>
            </w:r>
          </w:p>
        </w:tc>
        <w:tc>
          <w:tcPr>
            <w:tcW w:w="2835"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40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全部</w:t>
            </w:r>
          </w:p>
        </w:tc>
      </w:tr>
    </w:tbl>
    <w:p>
      <w:pPr>
        <w:rPr>
          <w:rFonts w:ascii="Times New Roman" w:hAnsi="Times New Roman" w:eastAsia="宋体" w:cs="Times New Roman"/>
          <w:kern w:val="0"/>
          <w:szCs w:val="21"/>
        </w:rPr>
      </w:pPr>
    </w:p>
    <w:p>
      <w:pPr>
        <w:pStyle w:val="36"/>
        <w:spacing w:after="158" w:afterLines="50"/>
        <w:ind w:firstLine="0" w:firstLineChars="0"/>
        <w:rPr>
          <w:rFonts w:ascii="黑体" w:hAnsi="黑体" w:eastAsia="黑体" w:cs="黑体"/>
          <w:kern w:val="0"/>
        </w:rPr>
      </w:pPr>
      <w:r>
        <w:rPr>
          <w:rFonts w:hint="eastAsia" w:ascii="黑体" w:hAnsi="黑体" w:eastAsia="黑体" w:cs="黑体"/>
          <w:kern w:val="0"/>
        </w:rPr>
        <w:t>I.3 各课程知识点要求</w:t>
      </w:r>
    </w:p>
    <w:p>
      <w:pPr>
        <w:pStyle w:val="36"/>
        <w:spacing w:after="158" w:afterLines="50"/>
        <w:ind w:firstLine="0" w:firstLineChars="0"/>
        <w:rPr>
          <w:rFonts w:ascii="黑体" w:hAnsi="黑体" w:eastAsia="黑体" w:cs="黑体"/>
          <w:kern w:val="0"/>
        </w:rPr>
      </w:pPr>
      <w:r>
        <w:rPr>
          <w:rFonts w:hint="eastAsia" w:ascii="黑体" w:hAnsi="黑体" w:eastAsia="黑体" w:cs="黑体"/>
          <w:kern w:val="0"/>
        </w:rPr>
        <w:t>I.3.1 云计算基础</w:t>
      </w:r>
    </w:p>
    <w:p>
      <w:pPr>
        <w:pStyle w:val="36"/>
        <w:spacing w:after="158" w:afterLines="50"/>
        <w:ind w:firstLine="0" w:firstLineChars="0"/>
        <w:jc w:val="center"/>
        <w:rPr>
          <w:rFonts w:ascii="黑体" w:hAnsi="黑体" w:eastAsia="黑体" w:cs="黑体"/>
          <w:kern w:val="0"/>
        </w:rPr>
      </w:pPr>
      <w:r>
        <w:rPr>
          <w:rFonts w:hint="eastAsia" w:ascii="黑体" w:hAnsi="黑体" w:eastAsia="黑体" w:cs="黑体"/>
          <w:kern w:val="0"/>
        </w:rPr>
        <w:t>表I.2 云计算基础课程内容与要求</w:t>
      </w:r>
    </w:p>
    <w:tbl>
      <w:tblPr>
        <w:tblStyle w:val="28"/>
        <w:tblW w:w="927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393"/>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云计算的定义、特点及发展历史</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了解云计算的定义及基本概念、发展历史和主要特点，掌握云计算与传统HT的区别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云计算数据中心的组成</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了解云计算数据中心分类和建设标准，掌握云计算数据中心的基本架构，云计算系统的组成、安全体系架构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云计算服务的分类</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了解云计算服务的分类，各类服务包含的具体产品类别及相互关系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主流云计算厂商及技术</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了解云计算行业内主流国内和国外厂商产品、服务及特点。了解各云计算厂商的主要技术及发展趋势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云存储技术及产品</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了解云存储技术的种类及特点，掌握云存储产品和服务所使用的技术和特点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393"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虚拟化技术及发展</w:t>
            </w:r>
          </w:p>
        </w:tc>
        <w:tc>
          <w:tcPr>
            <w:tcW w:w="5977"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了解不同层次的虚拟化技术及分类，掌握典型虚拟化方案的具体实现，了解虚拟化发展的方向</w:t>
            </w:r>
          </w:p>
        </w:tc>
      </w:tr>
    </w:tbl>
    <w:p>
      <w:pPr>
        <w:pStyle w:val="36"/>
        <w:spacing w:before="158" w:beforeLines="50" w:after="158" w:afterLines="50"/>
        <w:ind w:firstLine="0" w:firstLineChars="0"/>
        <w:rPr>
          <w:rFonts w:ascii="黑体" w:hAnsi="黑体" w:eastAsia="黑体" w:cs="黑体"/>
          <w:kern w:val="0"/>
        </w:rPr>
      </w:pPr>
      <w:r>
        <w:rPr>
          <w:rFonts w:hint="eastAsia" w:ascii="黑体" w:hAnsi="黑体" w:eastAsia="黑体" w:cs="黑体"/>
          <w:kern w:val="0"/>
        </w:rPr>
        <w:t>I.3.2云计算信息安全及产品</w:t>
      </w:r>
    </w:p>
    <w:p>
      <w:pPr>
        <w:pStyle w:val="36"/>
        <w:spacing w:after="158" w:afterLines="50"/>
        <w:ind w:firstLine="0" w:firstLineChars="0"/>
        <w:jc w:val="center"/>
        <w:rPr>
          <w:rFonts w:ascii="黑体" w:hAnsi="黑体" w:eastAsia="黑体" w:cs="黑体"/>
          <w:kern w:val="0"/>
        </w:rPr>
      </w:pPr>
      <w:r>
        <w:rPr>
          <w:rFonts w:hint="eastAsia" w:ascii="黑体" w:hAnsi="黑体" w:eastAsia="黑体" w:cs="黑体"/>
          <w:kern w:val="0"/>
        </w:rPr>
        <w:t>表 I.3 云计算信息安全及产品课程内容与要求</w:t>
      </w:r>
    </w:p>
    <w:tbl>
      <w:tblPr>
        <w:tblStyle w:val="28"/>
        <w:tblW w:w="949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27"/>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章节号</w:t>
            </w:r>
          </w:p>
        </w:tc>
        <w:tc>
          <w:tcPr>
            <w:tcW w:w="2327"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章节名</w:t>
            </w:r>
          </w:p>
        </w:tc>
        <w:tc>
          <w:tcPr>
            <w:tcW w:w="6341"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27"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云计算安全与传统信息安全的特点比较</w:t>
            </w:r>
          </w:p>
        </w:tc>
        <w:tc>
          <w:tcPr>
            <w:tcW w:w="6341"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了解云计算环境与传统HT信息安全方面的面临问题的差异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5"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27"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云计算主要的安全问题及分类</w:t>
            </w:r>
          </w:p>
        </w:tc>
        <w:tc>
          <w:tcPr>
            <w:tcW w:w="6341"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了解云计算面临在主要安全问题及分类，掌握安全威胁的种类、基本原理和防御手段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5"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27"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rPr>
                <w:rFonts w:ascii="宋体" w:hAnsi="宋体" w:cs="宋体"/>
                <w:kern w:val="0"/>
                <w:sz w:val="18"/>
                <w:szCs w:val="18"/>
              </w:rPr>
            </w:pPr>
            <w:r>
              <w:rPr>
                <w:rFonts w:hint="eastAsia" w:ascii="宋体" w:hAnsi="宋体" w:cs="宋体"/>
                <w:kern w:val="0"/>
                <w:sz w:val="18"/>
                <w:szCs w:val="18"/>
              </w:rPr>
              <w:t>云计算网络安全及产品</w:t>
            </w:r>
          </w:p>
        </w:tc>
        <w:tc>
          <w:tcPr>
            <w:tcW w:w="6341"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了解云计算安全产品和服务的分类，掌握各厂商特色安全产品及特点。熟悉安全等级保护对应的安全产品</w:t>
            </w:r>
          </w:p>
        </w:tc>
      </w:tr>
    </w:tbl>
    <w:p>
      <w:pPr>
        <w:pStyle w:val="36"/>
        <w:spacing w:before="158" w:beforeLines="50" w:after="158" w:afterLines="50"/>
        <w:ind w:firstLine="0" w:firstLineChars="0"/>
        <w:rPr>
          <w:rFonts w:ascii="黑体" w:hAnsi="黑体" w:eastAsia="黑体" w:cs="黑体"/>
          <w:kern w:val="0"/>
        </w:rPr>
      </w:pPr>
      <w:r>
        <w:rPr>
          <w:rFonts w:hint="eastAsia" w:ascii="黑体" w:hAnsi="黑体" w:eastAsia="黑体" w:cs="黑体"/>
          <w:kern w:val="0"/>
        </w:rPr>
        <w:t>I.3.2云计算信息安全管理及标准</w:t>
      </w:r>
    </w:p>
    <w:p>
      <w:pPr>
        <w:pStyle w:val="36"/>
        <w:spacing w:before="158" w:beforeLines="50" w:after="158" w:afterLines="50"/>
        <w:ind w:firstLine="0" w:firstLineChars="0"/>
        <w:jc w:val="center"/>
        <w:rPr>
          <w:rFonts w:ascii="黑体" w:hAnsi="黑体" w:eastAsia="黑体" w:cs="黑体"/>
          <w:kern w:val="0"/>
        </w:rPr>
      </w:pPr>
      <w:r>
        <w:rPr>
          <w:rFonts w:hint="eastAsia" w:ascii="黑体" w:hAnsi="黑体" w:eastAsia="黑体" w:cs="黑体"/>
          <w:kern w:val="0"/>
        </w:rPr>
        <w:t>表I.4 云计算信息安全管理及标准课程内容与要求</w:t>
      </w:r>
    </w:p>
    <w:tbl>
      <w:tblPr>
        <w:tblStyle w:val="28"/>
        <w:tblW w:w="95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254"/>
        <w:gridCol w:w="6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章节号</w:t>
            </w:r>
          </w:p>
        </w:tc>
        <w:tc>
          <w:tcPr>
            <w:tcW w:w="2254"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章节名</w:t>
            </w:r>
          </w:p>
        </w:tc>
        <w:tc>
          <w:tcPr>
            <w:tcW w:w="6326"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36"/>
              <w:spacing w:line="264" w:lineRule="auto"/>
              <w:ind w:firstLine="0" w:firstLineChars="0"/>
              <w:jc w:val="center"/>
              <w:rPr>
                <w:kern w:val="0"/>
                <w:sz w:val="18"/>
                <w:szCs w:val="18"/>
              </w:rPr>
            </w:pPr>
            <w:r>
              <w:rPr>
                <w:rFonts w:hint="eastAsia"/>
                <w:kern w:val="0"/>
                <w:sz w:val="18"/>
                <w:szCs w:val="18"/>
              </w:rPr>
              <w:t>1</w:t>
            </w:r>
          </w:p>
        </w:tc>
        <w:tc>
          <w:tcPr>
            <w:tcW w:w="2254"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rPr>
                <w:kern w:val="0"/>
                <w:sz w:val="18"/>
                <w:szCs w:val="18"/>
              </w:rPr>
            </w:pPr>
            <w:r>
              <w:rPr>
                <w:rFonts w:hint="eastAsia"/>
                <w:kern w:val="0"/>
                <w:sz w:val="18"/>
                <w:szCs w:val="18"/>
              </w:rPr>
              <w:t>云计算相关国际、国内标准及规定</w:t>
            </w:r>
          </w:p>
        </w:tc>
        <w:tc>
          <w:tcPr>
            <w:tcW w:w="6326"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 xml:space="preserve">了解云计算安全管理标准化工作概况，掌握HSO27001、HSO27018等主要安全管理标准及对应的国家标准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36"/>
              <w:spacing w:line="264" w:lineRule="auto"/>
              <w:ind w:firstLine="0" w:firstLineChars="0"/>
              <w:jc w:val="center"/>
              <w:rPr>
                <w:kern w:val="0"/>
                <w:sz w:val="18"/>
                <w:szCs w:val="18"/>
              </w:rPr>
            </w:pPr>
            <w:r>
              <w:rPr>
                <w:rFonts w:hint="eastAsia"/>
                <w:kern w:val="0"/>
                <w:sz w:val="18"/>
                <w:szCs w:val="18"/>
              </w:rPr>
              <w:t>2</w:t>
            </w:r>
          </w:p>
        </w:tc>
        <w:tc>
          <w:tcPr>
            <w:tcW w:w="2254"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rPr>
                <w:kern w:val="0"/>
                <w:sz w:val="18"/>
                <w:szCs w:val="18"/>
              </w:rPr>
            </w:pPr>
            <w:r>
              <w:rPr>
                <w:rFonts w:hint="eastAsia"/>
                <w:kern w:val="0"/>
                <w:sz w:val="18"/>
                <w:szCs w:val="18"/>
              </w:rPr>
              <w:t>云计算安全管理的规定和要求</w:t>
            </w:r>
          </w:p>
        </w:tc>
        <w:tc>
          <w:tcPr>
            <w:tcW w:w="6326"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掌握《网络安全法》、《计算机信息系统安全保护条例》等主要法律法规对云计算的要求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36"/>
              <w:spacing w:line="264" w:lineRule="auto"/>
              <w:ind w:firstLine="0" w:firstLineChars="0"/>
              <w:jc w:val="center"/>
              <w:rPr>
                <w:kern w:val="0"/>
                <w:sz w:val="18"/>
                <w:szCs w:val="18"/>
              </w:rPr>
            </w:pPr>
            <w:r>
              <w:rPr>
                <w:rFonts w:hint="eastAsia"/>
                <w:kern w:val="0"/>
                <w:sz w:val="18"/>
                <w:szCs w:val="18"/>
              </w:rPr>
              <w:t>3</w:t>
            </w:r>
          </w:p>
        </w:tc>
        <w:tc>
          <w:tcPr>
            <w:tcW w:w="2254"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rPr>
                <w:kern w:val="0"/>
                <w:sz w:val="18"/>
                <w:szCs w:val="18"/>
              </w:rPr>
            </w:pPr>
            <w:r>
              <w:rPr>
                <w:rFonts w:hint="eastAsia"/>
                <w:kern w:val="0"/>
                <w:sz w:val="18"/>
                <w:szCs w:val="18"/>
              </w:rPr>
              <w:t>信息安全管理体系、方法及安全评估模型</w:t>
            </w:r>
          </w:p>
        </w:tc>
        <w:tc>
          <w:tcPr>
            <w:tcW w:w="6326"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了解云计算安全管理体系及管理方法，了解云计算信息安全评估模型</w:t>
            </w:r>
          </w:p>
        </w:tc>
      </w:tr>
    </w:tbl>
    <w:p>
      <w:pPr>
        <w:pStyle w:val="36"/>
        <w:spacing w:before="158" w:beforeLines="50" w:after="158" w:afterLines="50"/>
        <w:ind w:firstLine="0" w:firstLineChars="0"/>
        <w:rPr>
          <w:rFonts w:ascii="黑体" w:hAnsi="黑体" w:eastAsia="黑体" w:cs="黑体"/>
          <w:kern w:val="0"/>
        </w:rPr>
      </w:pPr>
      <w:r>
        <w:rPr>
          <w:rFonts w:hint="eastAsia" w:ascii="黑体" w:hAnsi="黑体" w:eastAsia="黑体" w:cs="黑体"/>
          <w:kern w:val="0"/>
        </w:rPr>
        <w:t>I.3.3 访问控制及身份鉴别</w:t>
      </w:r>
    </w:p>
    <w:p>
      <w:pPr>
        <w:pStyle w:val="36"/>
        <w:spacing w:before="158" w:beforeLines="50" w:after="158" w:afterLines="50"/>
        <w:ind w:firstLine="0" w:firstLineChars="0"/>
        <w:jc w:val="center"/>
        <w:rPr>
          <w:rFonts w:ascii="黑体" w:hAnsi="黑体" w:eastAsia="黑体" w:cs="黑体"/>
          <w:kern w:val="0"/>
        </w:rPr>
      </w:pPr>
      <w:r>
        <w:rPr>
          <w:rFonts w:hint="eastAsia" w:ascii="黑体" w:hAnsi="黑体" w:eastAsia="黑体" w:cs="黑体"/>
          <w:kern w:val="0"/>
        </w:rPr>
        <w:t>表I.5 访问控制及身份鉴别课程内容与要求</w:t>
      </w:r>
    </w:p>
    <w:tbl>
      <w:tblPr>
        <w:tblStyle w:val="28"/>
        <w:tblW w:w="949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99"/>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299" w:type="dxa"/>
            <w:tcBorders>
              <w:top w:val="single" w:color="auto" w:sz="4" w:space="0"/>
              <w:left w:val="single" w:color="auto" w:sz="4" w:space="0"/>
              <w:bottom w:val="single" w:color="auto" w:sz="4" w:space="0"/>
              <w:right w:val="single" w:color="auto" w:sz="4" w:space="0"/>
            </w:tcBorders>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296" w:type="dxa"/>
            <w:tcBorders>
              <w:top w:val="single" w:color="auto" w:sz="4" w:space="0"/>
              <w:left w:val="single" w:color="auto" w:sz="4" w:space="0"/>
              <w:bottom w:val="single" w:color="auto" w:sz="4" w:space="0"/>
              <w:right w:val="single" w:color="auto" w:sz="4" w:space="0"/>
            </w:tcBorders>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299"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主机的访问控制</w:t>
            </w:r>
          </w:p>
        </w:tc>
        <w:tc>
          <w:tcPr>
            <w:tcW w:w="6296"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了解云计算虚拟主机的访问控制相关技术，了解访问控制模型及实现机制，掌握常用的访问控制手段和控制策略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299"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SSL、VPN及堡垒机</w:t>
            </w:r>
          </w:p>
        </w:tc>
        <w:tc>
          <w:tcPr>
            <w:tcW w:w="6296"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了解SSL、VPN及堡垒机涉及的相关安全技术，了解主流厂商产品及特点，掌握SSL、VPN及堡垒机在云资源的安全使用和运维方面的作用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299"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rPr>
                <w:rFonts w:ascii="宋体" w:hAnsi="宋体" w:cs="宋体"/>
                <w:kern w:val="0"/>
                <w:sz w:val="18"/>
                <w:szCs w:val="18"/>
              </w:rPr>
            </w:pPr>
            <w:r>
              <w:rPr>
                <w:rFonts w:hint="eastAsia" w:ascii="宋体" w:hAnsi="宋体" w:cs="宋体"/>
                <w:kern w:val="0"/>
                <w:sz w:val="18"/>
                <w:szCs w:val="18"/>
              </w:rPr>
              <w:t>身份鉴别及密码技术</w:t>
            </w:r>
          </w:p>
        </w:tc>
        <w:tc>
          <w:tcPr>
            <w:tcW w:w="6296" w:type="dxa"/>
            <w:tcBorders>
              <w:top w:val="single" w:color="auto" w:sz="4" w:space="0"/>
              <w:left w:val="single" w:color="auto" w:sz="4" w:space="0"/>
              <w:bottom w:val="single" w:color="auto" w:sz="4" w:space="0"/>
              <w:right w:val="single" w:color="auto" w:sz="4" w:space="0"/>
            </w:tcBorders>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了解云计算环境身份鉴别面临的挑战，熟悉鉴别与授权、身份管理、公钥密码体系等技术及应用，了解国家相关标准在身份鉴别方面的要求</w:t>
            </w:r>
          </w:p>
        </w:tc>
      </w:tr>
    </w:tbl>
    <w:p>
      <w:pPr>
        <w:pStyle w:val="36"/>
        <w:spacing w:before="158" w:beforeLines="50" w:after="158" w:afterLines="50"/>
        <w:ind w:firstLine="0" w:firstLineChars="0"/>
        <w:rPr>
          <w:rFonts w:ascii="黑体" w:hAnsi="黑体" w:eastAsia="黑体" w:cs="黑体"/>
          <w:kern w:val="0"/>
        </w:rPr>
      </w:pPr>
      <w:r>
        <w:rPr>
          <w:rFonts w:hint="eastAsia" w:ascii="黑体" w:hAnsi="黑体" w:eastAsia="黑体" w:cs="黑体"/>
          <w:kern w:val="0"/>
        </w:rPr>
        <w:t>I.3.4基础设施和虚拟化安全</w:t>
      </w:r>
    </w:p>
    <w:p>
      <w:pPr>
        <w:pStyle w:val="36"/>
        <w:spacing w:after="158" w:afterLines="50"/>
        <w:ind w:firstLine="0" w:firstLineChars="0"/>
        <w:jc w:val="center"/>
        <w:rPr>
          <w:rFonts w:ascii="黑体" w:hAnsi="黑体" w:eastAsia="黑体" w:cs="黑体"/>
          <w:kern w:val="0"/>
        </w:rPr>
      </w:pPr>
      <w:r>
        <w:rPr>
          <w:rFonts w:hint="eastAsia" w:ascii="黑体" w:hAnsi="黑体" w:eastAsia="黑体" w:cs="黑体"/>
          <w:kern w:val="0"/>
        </w:rPr>
        <w:t>表I.6 基础设施和虚拟化安全课程内容与要求</w:t>
      </w:r>
    </w:p>
    <w:tbl>
      <w:tblPr>
        <w:tblStyle w:val="28"/>
        <w:tblW w:w="94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84"/>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章节号</w:t>
            </w:r>
          </w:p>
        </w:tc>
        <w:tc>
          <w:tcPr>
            <w:tcW w:w="2284"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章节名</w:t>
            </w:r>
          </w:p>
        </w:tc>
        <w:tc>
          <w:tcPr>
            <w:tcW w:w="6251" w:type="dxa"/>
            <w:tcBorders>
              <w:top w:val="single" w:color="auto" w:sz="4" w:space="0"/>
              <w:left w:val="single" w:color="auto" w:sz="4" w:space="0"/>
              <w:bottom w:val="single" w:color="auto" w:sz="4" w:space="0"/>
              <w:right w:val="single" w:color="auto" w:sz="4" w:space="0"/>
            </w:tcBorders>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36"/>
              <w:spacing w:after="158" w:afterLines="50"/>
              <w:ind w:firstLine="360"/>
              <w:rPr>
                <w:rFonts w:ascii="宋体" w:hAnsi="宋体" w:cs="宋体"/>
                <w:kern w:val="0"/>
                <w:sz w:val="18"/>
                <w:szCs w:val="18"/>
              </w:rPr>
            </w:pPr>
            <w:r>
              <w:rPr>
                <w:rFonts w:hint="eastAsia" w:ascii="宋体" w:hAnsi="宋体" w:cs="宋体"/>
                <w:kern w:val="0"/>
                <w:sz w:val="18"/>
                <w:szCs w:val="18"/>
              </w:rPr>
              <w:t>1</w:t>
            </w:r>
          </w:p>
        </w:tc>
        <w:tc>
          <w:tcPr>
            <w:tcW w:w="2284" w:type="dxa"/>
            <w:tcBorders>
              <w:top w:val="single" w:color="auto" w:sz="4" w:space="0"/>
              <w:left w:val="single" w:color="auto" w:sz="4" w:space="0"/>
              <w:bottom w:val="single" w:color="auto" w:sz="4" w:space="0"/>
              <w:right w:val="single" w:color="auto" w:sz="4" w:space="0"/>
            </w:tcBorders>
            <w:vAlign w:val="center"/>
          </w:tcPr>
          <w:p>
            <w:pPr>
              <w:pStyle w:val="36"/>
              <w:spacing w:after="158" w:afterLines="50"/>
              <w:ind w:firstLine="0" w:firstLineChars="0"/>
              <w:rPr>
                <w:rFonts w:ascii="宋体" w:hAnsi="宋体" w:cs="宋体"/>
                <w:kern w:val="0"/>
                <w:sz w:val="18"/>
                <w:szCs w:val="18"/>
              </w:rPr>
            </w:pPr>
            <w:r>
              <w:rPr>
                <w:rFonts w:hint="eastAsia" w:ascii="宋体" w:hAnsi="宋体" w:cs="宋体"/>
                <w:kern w:val="0"/>
                <w:sz w:val="18"/>
                <w:szCs w:val="18"/>
              </w:rPr>
              <w:t>云数据中心的安全</w:t>
            </w:r>
          </w:p>
        </w:tc>
        <w:tc>
          <w:tcPr>
            <w:tcW w:w="6251"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了解云计算数据中心面临的安全问题，掌握云技术数据中心相关的安全设计及防护方法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36"/>
              <w:spacing w:after="158" w:afterLines="50"/>
              <w:ind w:firstLine="360"/>
              <w:rPr>
                <w:rFonts w:ascii="宋体" w:hAnsi="宋体" w:cs="宋体"/>
                <w:kern w:val="0"/>
                <w:sz w:val="18"/>
                <w:szCs w:val="18"/>
              </w:rPr>
            </w:pPr>
            <w:r>
              <w:rPr>
                <w:rFonts w:hint="eastAsia" w:ascii="宋体" w:hAnsi="宋体" w:cs="宋体"/>
                <w:kern w:val="0"/>
                <w:sz w:val="18"/>
                <w:szCs w:val="18"/>
              </w:rPr>
              <w:t>2</w:t>
            </w:r>
          </w:p>
        </w:tc>
        <w:tc>
          <w:tcPr>
            <w:tcW w:w="2284" w:type="dxa"/>
            <w:tcBorders>
              <w:top w:val="single" w:color="auto" w:sz="4" w:space="0"/>
              <w:left w:val="single" w:color="auto" w:sz="4" w:space="0"/>
              <w:bottom w:val="single" w:color="auto" w:sz="4" w:space="0"/>
              <w:right w:val="single" w:color="auto" w:sz="4" w:space="0"/>
            </w:tcBorders>
            <w:vAlign w:val="center"/>
          </w:tcPr>
          <w:p>
            <w:pPr>
              <w:pStyle w:val="36"/>
              <w:spacing w:after="158" w:afterLines="50"/>
              <w:ind w:firstLine="0" w:firstLineChars="0"/>
              <w:rPr>
                <w:rFonts w:ascii="宋体" w:hAnsi="宋体" w:cs="宋体"/>
                <w:kern w:val="0"/>
                <w:sz w:val="18"/>
                <w:szCs w:val="18"/>
              </w:rPr>
            </w:pPr>
            <w:r>
              <w:rPr>
                <w:rFonts w:hint="eastAsia" w:ascii="宋体" w:hAnsi="宋体" w:cs="宋体"/>
                <w:kern w:val="0"/>
                <w:sz w:val="18"/>
                <w:szCs w:val="18"/>
              </w:rPr>
              <w:t>主机虚拟化安全</w:t>
            </w:r>
          </w:p>
        </w:tc>
        <w:tc>
          <w:tcPr>
            <w:tcW w:w="6251"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了解虚拟化架构及安全挑战、熟悉主流虚拟化管理软件及技术特点，了解虚拟化安全相关技术及解决方案</w:t>
            </w:r>
          </w:p>
        </w:tc>
      </w:tr>
    </w:tbl>
    <w:p>
      <w:pPr>
        <w:widowControl/>
        <w:spacing w:line="360" w:lineRule="auto"/>
        <w:jc w:val="center"/>
        <w:outlineLvl w:val="0"/>
        <w:rPr>
          <w:rFonts w:ascii="黑体" w:hAnsi="黑体" w:eastAsia="黑体" w:cs="黑体"/>
          <w:kern w:val="0"/>
          <w:szCs w:val="21"/>
        </w:rPr>
      </w:pPr>
      <w:r>
        <w:rPr>
          <w:rFonts w:ascii="宋体" w:hAnsi="宋体"/>
          <w:color w:val="0070C0"/>
          <w:szCs w:val="21"/>
        </w:rPr>
        <w:br w:type="page"/>
      </w:r>
      <w:bookmarkStart w:id="142" w:name="_Toc21011"/>
      <w:r>
        <w:rPr>
          <w:rFonts w:hint="eastAsia" w:ascii="黑体" w:hAnsi="黑体" w:eastAsia="黑体" w:cs="黑体"/>
          <w:kern w:val="0"/>
          <w:szCs w:val="21"/>
        </w:rPr>
        <w:t xml:space="preserve">附 录 </w:t>
      </w:r>
      <w:bookmarkStart w:id="143" w:name="_Toc11217"/>
      <w:r>
        <w:rPr>
          <w:rFonts w:hint="eastAsia" w:ascii="黑体" w:hAnsi="黑体" w:eastAsia="黑体" w:cs="黑体"/>
          <w:kern w:val="0"/>
          <w:szCs w:val="21"/>
        </w:rPr>
        <w:t>J</w:t>
      </w:r>
      <w:bookmarkEnd w:id="142"/>
    </w:p>
    <w:p>
      <w:pPr>
        <w:widowControl/>
        <w:spacing w:line="360" w:lineRule="auto"/>
        <w:jc w:val="center"/>
        <w:outlineLvl w:val="0"/>
        <w:rPr>
          <w:rFonts w:ascii="黑体" w:hAnsi="黑体" w:eastAsia="黑体" w:cs="黑体"/>
          <w:kern w:val="0"/>
          <w:szCs w:val="21"/>
        </w:rPr>
      </w:pPr>
      <w:bookmarkStart w:id="144" w:name="_Toc12625"/>
      <w:bookmarkStart w:id="145" w:name="_Toc684"/>
      <w:r>
        <w:rPr>
          <w:rFonts w:hint="eastAsia" w:ascii="黑体" w:hAnsi="黑体" w:eastAsia="黑体" w:cs="黑体"/>
          <w:kern w:val="0"/>
          <w:szCs w:val="21"/>
        </w:rPr>
        <w:t>（规范性）</w:t>
      </w:r>
      <w:bookmarkEnd w:id="143"/>
      <w:bookmarkEnd w:id="144"/>
      <w:bookmarkEnd w:id="145"/>
    </w:p>
    <w:p>
      <w:pPr>
        <w:widowControl/>
        <w:spacing w:line="360" w:lineRule="auto"/>
        <w:jc w:val="center"/>
        <w:outlineLvl w:val="0"/>
        <w:rPr>
          <w:rFonts w:ascii="黑体" w:hAnsi="黑体" w:eastAsia="黑体" w:cs="黑体"/>
          <w:kern w:val="0"/>
          <w:szCs w:val="21"/>
        </w:rPr>
      </w:pPr>
      <w:bookmarkStart w:id="146" w:name="_Toc4942"/>
      <w:bookmarkStart w:id="147" w:name="_Toc16743"/>
      <w:bookmarkStart w:id="148" w:name="_Toc660"/>
      <w:r>
        <w:rPr>
          <w:rFonts w:hint="eastAsia" w:ascii="黑体" w:hAnsi="黑体" w:eastAsia="黑体" w:cs="黑体"/>
          <w:kern w:val="0"/>
          <w:szCs w:val="21"/>
        </w:rPr>
        <w:t>物联网安全考试大纲</w:t>
      </w:r>
      <w:bookmarkEnd w:id="146"/>
      <w:bookmarkEnd w:id="147"/>
      <w:bookmarkEnd w:id="148"/>
    </w:p>
    <w:p>
      <w:pPr>
        <w:rPr>
          <w:rFonts w:ascii="Times New Roman" w:hAnsi="Times New Roman" w:eastAsia="宋体" w:cs="Times New Roman"/>
          <w:kern w:val="0"/>
          <w:szCs w:val="21"/>
        </w:rPr>
      </w:pPr>
    </w:p>
    <w:p>
      <w:pPr>
        <w:pStyle w:val="36"/>
        <w:adjustRightInd w:val="0"/>
        <w:snapToGrid w:val="0"/>
        <w:spacing w:line="360" w:lineRule="auto"/>
        <w:ind w:firstLine="0" w:firstLineChars="0"/>
        <w:rPr>
          <w:b/>
          <w:bCs/>
          <w:kern w:val="0"/>
        </w:rPr>
      </w:pPr>
      <w:r>
        <w:rPr>
          <w:rFonts w:hint="eastAsia" w:ascii="黑体" w:hAnsi="黑体" w:eastAsia="黑体" w:cs="黑体"/>
          <w:kern w:val="0"/>
        </w:rPr>
        <w:t>J.1目的</w:t>
      </w:r>
    </w:p>
    <w:p>
      <w:pPr>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为使考生</w:t>
      </w:r>
      <w:r>
        <w:rPr>
          <w:rFonts w:hint="eastAsia" w:ascii="Times New Roman" w:hAnsi="Times New Roman" w:eastAsia="宋体" w:cs="Times New Roman"/>
          <w:kern w:val="0"/>
          <w:szCs w:val="21"/>
        </w:rPr>
        <w:t>达到本认证规范中网络空间安全专业人员在物联网安全方向二、三级级能力要求，</w:t>
      </w:r>
      <w:r>
        <w:rPr>
          <w:rFonts w:ascii="Times New Roman" w:hAnsi="Times New Roman" w:eastAsia="宋体" w:cs="Times New Roman"/>
          <w:kern w:val="0"/>
          <w:szCs w:val="21"/>
        </w:rPr>
        <w:t>指导考生有效准备考试，特制定本考试大纲</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以下简称大纲</w:t>
      </w:r>
      <w:r>
        <w:rPr>
          <w:rFonts w:hint="eastAsia" w:ascii="Times New Roman" w:hAnsi="Times New Roman" w:eastAsia="宋体" w:cs="Times New Roman"/>
          <w:kern w:val="0"/>
          <w:szCs w:val="21"/>
        </w:rPr>
        <w:t>）。</w:t>
      </w:r>
    </w:p>
    <w:p>
      <w:pPr>
        <w:pStyle w:val="36"/>
        <w:spacing w:line="360" w:lineRule="auto"/>
        <w:ind w:firstLine="0" w:firstLineChars="0"/>
        <w:rPr>
          <w:rFonts w:ascii="黑体" w:hAnsi="黑体" w:eastAsia="黑体" w:cs="黑体"/>
          <w:kern w:val="0"/>
        </w:rPr>
      </w:pPr>
      <w:r>
        <w:rPr>
          <w:rFonts w:hint="eastAsia" w:ascii="黑体" w:hAnsi="黑体" w:eastAsia="黑体" w:cs="黑体"/>
          <w:kern w:val="0"/>
        </w:rPr>
        <w:t>J.2考试内容</w:t>
      </w:r>
    </w:p>
    <w:p>
      <w:pPr>
        <w:pStyle w:val="36"/>
        <w:spacing w:line="360" w:lineRule="auto"/>
        <w:ind w:firstLine="0" w:firstLineChars="0"/>
        <w:rPr>
          <w:rFonts w:ascii="黑体" w:hAnsi="黑体" w:eastAsia="黑体" w:cs="黑体"/>
          <w:kern w:val="0"/>
        </w:rPr>
      </w:pPr>
      <w:r>
        <w:rPr>
          <w:rFonts w:hint="eastAsia" w:ascii="黑体" w:hAnsi="黑体" w:eastAsia="黑体" w:cs="黑体"/>
          <w:kern w:val="0"/>
        </w:rPr>
        <w:t>J.2.1课程要求</w:t>
      </w:r>
    </w:p>
    <w:p>
      <w:pPr>
        <w:pStyle w:val="36"/>
        <w:spacing w:line="360" w:lineRule="auto"/>
        <w:ind w:firstLine="0" w:firstLineChars="0"/>
        <w:jc w:val="center"/>
        <w:rPr>
          <w:rFonts w:ascii="黑体" w:hAnsi="黑体" w:eastAsia="黑体" w:cs="黑体"/>
          <w:kern w:val="0"/>
        </w:rPr>
      </w:pPr>
      <w:r>
        <w:rPr>
          <w:rFonts w:hint="eastAsia" w:ascii="黑体" w:hAnsi="黑体" w:eastAsia="黑体" w:cs="黑体"/>
          <w:kern w:val="0"/>
        </w:rPr>
        <w:t>表J.1 课程要求</w:t>
      </w:r>
    </w:p>
    <w:tbl>
      <w:tblPr>
        <w:tblStyle w:val="28"/>
        <w:tblW w:w="937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8"/>
        <w:gridCol w:w="340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78"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402"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694"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78"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物联网安全基础</w:t>
            </w:r>
          </w:p>
        </w:tc>
        <w:tc>
          <w:tcPr>
            <w:tcW w:w="3402"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694"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78"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物联网安全系统规划与实现</w:t>
            </w:r>
          </w:p>
        </w:tc>
        <w:tc>
          <w:tcPr>
            <w:tcW w:w="3402"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694"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78"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物联网安全管理与运维</w:t>
            </w:r>
          </w:p>
        </w:tc>
        <w:tc>
          <w:tcPr>
            <w:tcW w:w="3402"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694"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78"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物联网渗透测试</w:t>
            </w:r>
          </w:p>
        </w:tc>
        <w:tc>
          <w:tcPr>
            <w:tcW w:w="3402"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694"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78"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物联网安全职业素养</w:t>
            </w:r>
          </w:p>
        </w:tc>
        <w:tc>
          <w:tcPr>
            <w:tcW w:w="3402"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694"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rPr>
          <w:rFonts w:ascii="Times New Roman" w:hAnsi="Times New Roman" w:eastAsia="宋体" w:cs="Times New Roman"/>
          <w:kern w:val="0"/>
          <w:szCs w:val="21"/>
        </w:rPr>
      </w:pPr>
    </w:p>
    <w:p>
      <w:pPr>
        <w:pStyle w:val="36"/>
        <w:spacing w:after="158" w:afterLines="50"/>
        <w:ind w:firstLine="0" w:firstLineChars="0"/>
        <w:rPr>
          <w:rFonts w:ascii="黑体" w:hAnsi="黑体" w:eastAsia="黑体" w:cs="黑体"/>
          <w:kern w:val="0"/>
        </w:rPr>
      </w:pPr>
      <w:r>
        <w:rPr>
          <w:rFonts w:hint="eastAsia" w:ascii="黑体" w:hAnsi="黑体" w:eastAsia="黑体" w:cs="黑体"/>
          <w:kern w:val="0"/>
        </w:rPr>
        <w:t>J.3 各课程知识点要求</w:t>
      </w:r>
    </w:p>
    <w:p>
      <w:pPr>
        <w:pStyle w:val="36"/>
        <w:spacing w:after="158" w:afterLines="50"/>
        <w:ind w:firstLine="0" w:firstLineChars="0"/>
        <w:rPr>
          <w:rFonts w:ascii="黑体" w:hAnsi="黑体" w:eastAsia="黑体" w:cs="黑体"/>
          <w:kern w:val="0"/>
        </w:rPr>
      </w:pPr>
      <w:r>
        <w:rPr>
          <w:rFonts w:hint="eastAsia" w:ascii="黑体" w:hAnsi="黑体" w:eastAsia="黑体" w:cs="黑体"/>
          <w:kern w:val="0"/>
        </w:rPr>
        <w:t>J.3.1 物联网安全基础</w:t>
      </w:r>
    </w:p>
    <w:p>
      <w:pPr>
        <w:pStyle w:val="36"/>
        <w:spacing w:after="158" w:afterLines="50"/>
        <w:ind w:firstLine="0" w:firstLineChars="0"/>
        <w:jc w:val="center"/>
        <w:rPr>
          <w:rFonts w:ascii="黑体" w:hAnsi="黑体" w:eastAsia="黑体" w:cs="黑体"/>
          <w:kern w:val="0"/>
        </w:rPr>
      </w:pPr>
      <w:r>
        <w:rPr>
          <w:rFonts w:hint="eastAsia" w:ascii="黑体" w:hAnsi="黑体" w:eastAsia="黑体" w:cs="黑体"/>
          <w:kern w:val="0"/>
        </w:rPr>
        <w:t>表J.2 物联网安全基础课程内容与要求</w:t>
      </w:r>
    </w:p>
    <w:tbl>
      <w:tblPr>
        <w:tblStyle w:val="28"/>
        <w:tblW w:w="9359"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526"/>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937"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章节号</w:t>
            </w:r>
          </w:p>
        </w:tc>
        <w:tc>
          <w:tcPr>
            <w:tcW w:w="2526"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章节名</w:t>
            </w:r>
          </w:p>
        </w:tc>
        <w:tc>
          <w:tcPr>
            <w:tcW w:w="5896" w:type="dxa"/>
            <w:vAlign w:val="center"/>
          </w:tcPr>
          <w:p>
            <w:pPr>
              <w:pStyle w:val="36"/>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3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52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物联网安全概述</w:t>
            </w:r>
          </w:p>
        </w:tc>
        <w:tc>
          <w:tcPr>
            <w:tcW w:w="5896" w:type="dxa"/>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了解物联网发展过程，理解物联网生态，物联网安全模型以及安全特性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52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物联网密码学基础</w:t>
            </w:r>
          </w:p>
        </w:tc>
        <w:tc>
          <w:tcPr>
            <w:tcW w:w="589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掌握密钥学、密钥管理等相关知识，理解几种典型的密钥管理方案，评估方案优缺点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52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物联网设备安全开发方法</w:t>
            </w:r>
          </w:p>
        </w:tc>
        <w:tc>
          <w:tcPr>
            <w:tcW w:w="589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理解物联网设备安全设计和部署采用的各种工程方法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vAlign w:val="center"/>
          </w:tcPr>
          <w:p>
            <w:pPr>
              <w:pStyle w:val="36"/>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52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物联网漏洞、攻击及其应对措施</w:t>
            </w:r>
          </w:p>
        </w:tc>
        <w:tc>
          <w:tcPr>
            <w:tcW w:w="5896" w:type="dxa"/>
            <w:vAlign w:val="center"/>
          </w:tcPr>
          <w:p>
            <w:pPr>
              <w:pStyle w:val="36"/>
              <w:ind w:firstLine="0" w:firstLineChars="0"/>
              <w:jc w:val="left"/>
              <w:rPr>
                <w:rFonts w:ascii="宋体" w:hAnsi="宋体" w:cs="宋体"/>
                <w:kern w:val="0"/>
                <w:sz w:val="18"/>
                <w:szCs w:val="18"/>
              </w:rPr>
            </w:pPr>
            <w:r>
              <w:rPr>
                <w:rFonts w:hint="eastAsia" w:ascii="宋体" w:hAnsi="宋体" w:cs="宋体"/>
                <w:kern w:val="0"/>
                <w:sz w:val="18"/>
                <w:szCs w:val="18"/>
              </w:rPr>
              <w:t>理解物联网面临的各种威胁以及应对措施</w:t>
            </w:r>
          </w:p>
        </w:tc>
      </w:tr>
    </w:tbl>
    <w:p>
      <w:pPr>
        <w:pStyle w:val="36"/>
        <w:ind w:left="380" w:firstLine="0" w:firstLineChars="0"/>
        <w:rPr>
          <w:kern w:val="0"/>
        </w:rPr>
      </w:pPr>
    </w:p>
    <w:p>
      <w:pPr>
        <w:pStyle w:val="36"/>
        <w:spacing w:after="158" w:afterLines="50"/>
        <w:ind w:firstLine="0" w:firstLineChars="0"/>
        <w:rPr>
          <w:rFonts w:ascii="黑体" w:hAnsi="黑体" w:eastAsia="黑体" w:cs="黑体"/>
          <w:kern w:val="0"/>
        </w:rPr>
      </w:pPr>
      <w:r>
        <w:rPr>
          <w:rFonts w:hint="eastAsia" w:ascii="黑体" w:hAnsi="黑体" w:eastAsia="黑体" w:cs="黑体"/>
          <w:kern w:val="0"/>
        </w:rPr>
        <w:t>J.3.2  物联网安全系统规划与实现</w:t>
      </w:r>
    </w:p>
    <w:p>
      <w:pPr>
        <w:pStyle w:val="36"/>
        <w:spacing w:after="158" w:afterLines="50"/>
        <w:ind w:firstLine="0" w:firstLineChars="0"/>
        <w:jc w:val="center"/>
        <w:rPr>
          <w:rFonts w:ascii="黑体" w:hAnsi="黑体" w:eastAsia="黑体" w:cs="黑体"/>
          <w:kern w:val="0"/>
        </w:rPr>
      </w:pPr>
      <w:r>
        <w:rPr>
          <w:rFonts w:hint="eastAsia" w:ascii="黑体" w:hAnsi="黑体" w:eastAsia="黑体" w:cs="黑体"/>
          <w:kern w:val="0"/>
        </w:rPr>
        <w:t>表J.3 物联网安全系统规划与实现</w:t>
      </w:r>
    </w:p>
    <w:tbl>
      <w:tblPr>
        <w:tblStyle w:val="28"/>
        <w:tblW w:w="928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303"/>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907"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03"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073"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0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物联网安全设计方法</w:t>
            </w:r>
          </w:p>
        </w:tc>
        <w:tc>
          <w:tcPr>
            <w:tcW w:w="6073"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掌握物联网设备的安全设计方法，理解物联网安全的设计目标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0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物联网接入安全设计</w:t>
            </w:r>
          </w:p>
        </w:tc>
        <w:tc>
          <w:tcPr>
            <w:tcW w:w="607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理解物联网身份识别和访问控制管理机制，理解物联网设备授权和访问控制的设计方法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0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物联网安全机制设计</w:t>
            </w:r>
          </w:p>
        </w:tc>
        <w:tc>
          <w:tcPr>
            <w:tcW w:w="607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掌握物联网安全路由、物联网安全时间同步、物联网安全数据融合等设计方法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30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物联网安全访问控制策略</w:t>
            </w:r>
          </w:p>
        </w:tc>
        <w:tc>
          <w:tcPr>
            <w:tcW w:w="607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掌握物联网访问控制策略的特点，理解当前物联网安全访问控制策略的设计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30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物联网云端安全设计</w:t>
            </w:r>
          </w:p>
        </w:tc>
        <w:tc>
          <w:tcPr>
            <w:tcW w:w="607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掌握物联网云端安全机制，理解云计算、雾计算以及物联网云服务上的安全策略设计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30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物联网安全系统实现</w:t>
            </w:r>
          </w:p>
        </w:tc>
        <w:tc>
          <w:tcPr>
            <w:tcW w:w="607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掌握物联网安全系统设计流程，理解物联网安全平台使用的各种安全机制及其实施</w:t>
            </w:r>
          </w:p>
        </w:tc>
      </w:tr>
    </w:tbl>
    <w:p>
      <w:pPr>
        <w:pStyle w:val="36"/>
        <w:spacing w:before="158" w:beforeLines="50" w:after="158" w:afterLines="50"/>
        <w:ind w:left="178" w:hanging="178" w:hangingChars="85"/>
        <w:rPr>
          <w:rFonts w:ascii="黑体" w:hAnsi="黑体" w:eastAsia="黑体" w:cs="黑体"/>
          <w:kern w:val="0"/>
        </w:rPr>
      </w:pPr>
      <w:r>
        <w:rPr>
          <w:rFonts w:hint="eastAsia" w:ascii="黑体" w:hAnsi="黑体" w:eastAsia="黑体" w:cs="黑体"/>
          <w:kern w:val="0"/>
        </w:rPr>
        <w:t>J.3.3  物联网安全管理与运维</w:t>
      </w:r>
    </w:p>
    <w:p>
      <w:pPr>
        <w:pStyle w:val="36"/>
        <w:spacing w:before="158" w:beforeLines="50" w:after="158" w:afterLines="50"/>
        <w:ind w:left="178" w:hanging="178" w:hangingChars="85"/>
        <w:jc w:val="center"/>
        <w:rPr>
          <w:rFonts w:ascii="黑体" w:hAnsi="黑体" w:eastAsia="黑体" w:cs="黑体"/>
          <w:kern w:val="0"/>
        </w:rPr>
      </w:pPr>
      <w:r>
        <w:rPr>
          <w:rFonts w:hint="eastAsia" w:ascii="黑体" w:hAnsi="黑体" w:eastAsia="黑体" w:cs="黑体"/>
          <w:kern w:val="0"/>
        </w:rPr>
        <w:t>表 J.4 物联网安全管理与运维课程内容与要求</w:t>
      </w:r>
    </w:p>
    <w:tbl>
      <w:tblPr>
        <w:tblStyle w:val="28"/>
        <w:tblW w:w="927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94"/>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915"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194"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163"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194"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物联网系统风险评估</w:t>
            </w:r>
          </w:p>
        </w:tc>
        <w:tc>
          <w:tcPr>
            <w:tcW w:w="6163"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了解物联网隐私相应评估指南，隐私保护设计原则等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194"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物联网系统合规性监管</w:t>
            </w:r>
          </w:p>
        </w:tc>
        <w:tc>
          <w:tcPr>
            <w:tcW w:w="616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掌握物联网设备合规性监管及制定物联网合规程度的方法，掌握构建或调整物联网合规性监管方法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194"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物联网安全事件管理与取证</w:t>
            </w:r>
          </w:p>
        </w:tc>
        <w:tc>
          <w:tcPr>
            <w:tcW w:w="616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掌握物联网安全事件管理内容，理解物联网事件响应方法的制定、规划与实施，检测与分析以及取证等解决办法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194"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物联网安全运维</w:t>
            </w:r>
          </w:p>
        </w:tc>
        <w:tc>
          <w:tcPr>
            <w:tcW w:w="616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了解物联网系统安全生命周期，理解物联网安全规划、部署、管理、监控与检测、修复与处置等方面的运维方法</w:t>
            </w:r>
          </w:p>
        </w:tc>
      </w:tr>
    </w:tbl>
    <w:p>
      <w:pPr>
        <w:pStyle w:val="36"/>
        <w:ind w:left="380" w:firstLine="0" w:firstLineChars="0"/>
        <w:rPr>
          <w:kern w:val="0"/>
        </w:rPr>
      </w:pPr>
    </w:p>
    <w:p>
      <w:pPr>
        <w:pStyle w:val="36"/>
        <w:spacing w:after="158" w:afterLines="50"/>
        <w:ind w:left="378" w:hanging="378" w:hangingChars="180"/>
        <w:rPr>
          <w:rFonts w:ascii="黑体" w:hAnsi="黑体" w:eastAsia="黑体" w:cs="黑体"/>
          <w:kern w:val="0"/>
        </w:rPr>
      </w:pPr>
      <w:r>
        <w:rPr>
          <w:rFonts w:hint="eastAsia" w:ascii="黑体" w:hAnsi="黑体" w:eastAsia="黑体" w:cs="黑体"/>
          <w:kern w:val="0"/>
        </w:rPr>
        <w:t>J.3.4 物联网渗透测试</w:t>
      </w:r>
    </w:p>
    <w:p>
      <w:pPr>
        <w:pStyle w:val="36"/>
        <w:spacing w:after="158" w:afterLines="50"/>
        <w:ind w:left="378" w:hanging="378" w:hangingChars="180"/>
        <w:jc w:val="center"/>
        <w:rPr>
          <w:rFonts w:ascii="黑体" w:hAnsi="黑体" w:eastAsia="黑体" w:cs="黑体"/>
          <w:kern w:val="0"/>
        </w:rPr>
      </w:pPr>
      <w:r>
        <w:rPr>
          <w:rFonts w:hint="eastAsia" w:ascii="黑体" w:hAnsi="黑体" w:eastAsia="黑体" w:cs="黑体"/>
          <w:kern w:val="0"/>
        </w:rPr>
        <w:t>表J.5 物联网渗透测试课程内容与要求</w:t>
      </w:r>
    </w:p>
    <w:tbl>
      <w:tblPr>
        <w:tblStyle w:val="28"/>
        <w:tblW w:w="9361"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053"/>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5"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053"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333" w:type="dxa"/>
            <w:vAlign w:val="center"/>
          </w:tcPr>
          <w:p>
            <w:pPr>
              <w:pStyle w:val="36"/>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05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IoT渗透测试基础</w:t>
            </w:r>
          </w:p>
        </w:tc>
        <w:tc>
          <w:tcPr>
            <w:tcW w:w="633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掌握开展IoT渗透测试的基础知识，掌握IoT渗透测试环境的部署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05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IoT威胁建模</w:t>
            </w:r>
          </w:p>
        </w:tc>
        <w:tc>
          <w:tcPr>
            <w:tcW w:w="633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掌握IoT威胁建模概念及方法，掌握IoT Web应用、移动应用、设备硬件以及无线电通信的威胁建模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05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固件分析与漏洞利用</w:t>
            </w:r>
          </w:p>
        </w:tc>
        <w:tc>
          <w:tcPr>
            <w:tcW w:w="633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理解固件分析方法、固件提取、固件分析文件系统分析等内容。重点掌握IoT Web应用、移动应用漏洞利用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05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IoT设备攻击技术</w:t>
            </w:r>
          </w:p>
        </w:tc>
        <w:tc>
          <w:tcPr>
            <w:tcW w:w="633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理解IoT设备硬件攻击方法以及分析技术、无线电攻击技术等，理解IoT设备中漏洞挖掘与利用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pStyle w:val="36"/>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05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IoT自动化防护</w:t>
            </w:r>
          </w:p>
        </w:tc>
        <w:tc>
          <w:tcPr>
            <w:tcW w:w="6333" w:type="dxa"/>
            <w:vAlign w:val="center"/>
          </w:tcPr>
          <w:p>
            <w:pPr>
              <w:pStyle w:val="36"/>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理解IoT设备中高级漏洞利用技术，掌握采用自动化方法避免IoT设备出现漏洞</w:t>
            </w:r>
          </w:p>
        </w:tc>
      </w:tr>
    </w:tbl>
    <w:p>
      <w:pPr>
        <w:pStyle w:val="36"/>
        <w:ind w:left="380" w:firstLine="0" w:firstLineChars="0"/>
        <w:rPr>
          <w:kern w:val="0"/>
        </w:rPr>
      </w:pPr>
    </w:p>
    <w:p>
      <w:pPr>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tabs>
          <w:tab w:val="left" w:pos="3455"/>
        </w:tabs>
        <w:spacing w:line="360" w:lineRule="auto"/>
        <w:jc w:val="center"/>
        <w:outlineLvl w:val="0"/>
        <w:rPr>
          <w:rFonts w:ascii="黑体" w:hAnsi="黑体" w:eastAsia="黑体" w:cs="黑体"/>
          <w:szCs w:val="21"/>
        </w:rPr>
      </w:pPr>
      <w:bookmarkStart w:id="149" w:name="_Toc24308"/>
      <w:r>
        <w:rPr>
          <w:rFonts w:hint="eastAsia" w:ascii="黑体" w:hAnsi="黑体" w:eastAsia="黑体" w:cs="黑体"/>
          <w:szCs w:val="21"/>
        </w:rPr>
        <w:t>附 录 K</w:t>
      </w:r>
      <w:bookmarkEnd w:id="149"/>
    </w:p>
    <w:p>
      <w:pPr>
        <w:tabs>
          <w:tab w:val="left" w:pos="3455"/>
        </w:tabs>
        <w:spacing w:line="360" w:lineRule="auto"/>
        <w:jc w:val="center"/>
        <w:outlineLvl w:val="0"/>
        <w:rPr>
          <w:rFonts w:ascii="黑体" w:hAnsi="黑体" w:eastAsia="黑体" w:cs="黑体"/>
          <w:szCs w:val="21"/>
        </w:rPr>
      </w:pPr>
      <w:bookmarkStart w:id="150" w:name="_Toc13123"/>
      <w:bookmarkStart w:id="151" w:name="_Toc16891"/>
      <w:r>
        <w:rPr>
          <w:rFonts w:hint="eastAsia" w:ascii="黑体" w:hAnsi="黑体" w:eastAsia="黑体" w:cs="黑体"/>
          <w:szCs w:val="21"/>
        </w:rPr>
        <w:t>（规范性）</w:t>
      </w:r>
      <w:bookmarkEnd w:id="150"/>
      <w:bookmarkEnd w:id="151"/>
    </w:p>
    <w:p>
      <w:pPr>
        <w:tabs>
          <w:tab w:val="left" w:pos="3455"/>
        </w:tabs>
        <w:spacing w:after="283" w:line="360" w:lineRule="auto"/>
        <w:jc w:val="center"/>
        <w:outlineLvl w:val="0"/>
        <w:rPr>
          <w:szCs w:val="21"/>
        </w:rPr>
      </w:pPr>
      <w:bookmarkStart w:id="152" w:name="_Toc27845"/>
      <w:bookmarkStart w:id="153" w:name="_Toc19234"/>
      <w:r>
        <w:rPr>
          <w:rFonts w:hint="eastAsia" w:ascii="黑体" w:hAnsi="黑体" w:eastAsia="黑体" w:cs="黑体"/>
          <w:szCs w:val="21"/>
        </w:rPr>
        <w:t>人工智能安全考试大纲</w:t>
      </w:r>
      <w:bookmarkEnd w:id="152"/>
      <w:bookmarkEnd w:id="153"/>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K.1 目的</w:t>
      </w:r>
    </w:p>
    <w:p>
      <w:pPr>
        <w:pStyle w:val="60"/>
        <w:adjustRightInd w:val="0"/>
        <w:snapToGrid w:val="0"/>
        <w:spacing w:before="158" w:beforeLines="50" w:after="158"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为使考生达到本认证规范中网络空间安全专业人员人工智能安全方向二级、三级能力要求，指导考生有效准备考试，特制定本考试大纲（以下简称大纲）。</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K.2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K.2.1课程要求和考试比例</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表K.1 课程要求和考试比例</w:t>
      </w:r>
    </w:p>
    <w:tbl>
      <w:tblPr>
        <w:tblStyle w:val="2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2"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759"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信息安全技术</w:t>
            </w:r>
          </w:p>
        </w:tc>
        <w:tc>
          <w:tcPr>
            <w:tcW w:w="311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75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人工智能</w:t>
            </w:r>
          </w:p>
        </w:tc>
        <w:tc>
          <w:tcPr>
            <w:tcW w:w="311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5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2"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人工智能安全</w:t>
            </w:r>
          </w:p>
        </w:tc>
        <w:tc>
          <w:tcPr>
            <w:tcW w:w="311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59"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rPr>
          <w:rFonts w:ascii="黑体" w:hAnsi="黑体" w:eastAsia="黑体" w:cs="黑体"/>
        </w:rPr>
      </w:pPr>
      <w:r>
        <w:rPr>
          <w:rFonts w:hint="eastAsia" w:ascii="黑体" w:hAnsi="黑体" w:eastAsia="黑体" w:cs="黑体"/>
        </w:rPr>
        <w:t>K.3 各课程知识点要求</w:t>
      </w:r>
    </w:p>
    <w:p>
      <w:pPr>
        <w:pStyle w:val="58"/>
        <w:adjustRightInd w:val="0"/>
        <w:snapToGrid w:val="0"/>
        <w:spacing w:line="360" w:lineRule="auto"/>
        <w:ind w:firstLine="105" w:firstLineChars="50"/>
        <w:rPr>
          <w:rFonts w:ascii="黑体" w:hAnsi="黑体" w:eastAsia="黑体" w:cs="黑体"/>
        </w:rPr>
      </w:pPr>
      <w:r>
        <w:rPr>
          <w:rFonts w:hint="eastAsia" w:ascii="黑体" w:hAnsi="黑体" w:eastAsia="黑体" w:cs="黑体"/>
        </w:rPr>
        <w:t>K.3.1人工智能</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表K.</w:t>
      </w:r>
      <w:r>
        <w:rPr>
          <w:rFonts w:ascii="黑体" w:hAnsi="黑体" w:eastAsia="黑体" w:cs="黑体"/>
        </w:rPr>
        <w:t xml:space="preserve">2 </w:t>
      </w:r>
      <w:r>
        <w:rPr>
          <w:rFonts w:hint="eastAsia" w:ascii="黑体" w:hAnsi="黑体" w:eastAsia="黑体" w:cs="黑体"/>
        </w:rPr>
        <w:t>人工智能课程内容与要求</w:t>
      </w:r>
    </w:p>
    <w:tbl>
      <w:tblPr>
        <w:tblStyle w:val="28"/>
        <w:tblW w:w="92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95"/>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9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03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基本概念</w:t>
            </w:r>
          </w:p>
        </w:tc>
        <w:tc>
          <w:tcPr>
            <w:tcW w:w="6035"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了解人工智能的概念</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了解AI的发展历程和现状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Python入门</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掌握Python</w:t>
            </w:r>
            <w:r>
              <w:rPr>
                <w:rFonts w:ascii="宋体" w:hAnsi="宋体" w:cs="宋体"/>
                <w:kern w:val="0"/>
                <w:sz w:val="18"/>
                <w:szCs w:val="18"/>
              </w:rPr>
              <w:t xml:space="preserve"> </w:t>
            </w:r>
            <w:r>
              <w:rPr>
                <w:rFonts w:hint="eastAsia" w:ascii="宋体" w:hAnsi="宋体" w:cs="宋体"/>
                <w:kern w:val="0"/>
                <w:sz w:val="18"/>
                <w:szCs w:val="18"/>
              </w:rPr>
              <w:t>基础知识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掌握Python列表、元组和字典</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掌握Python的条件和循环、函数与模块</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掌握Python的数据分析知识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人工智能数学基础</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掌握人工智能的线性代数、微积分、概率论和数理统计知识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人工神经网络</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掌握神经元知识，如人工神经网络结构、梯度消失与梯度爆炸</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掌握损失函数、激活函数等知识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掌握手工搭建神经网络的知识方法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TensorFlow与PyTorch</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了解TensorFlow的安装和使用</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了解PyTorch的安装和使用</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掌握其他深度学习框架，如Keras、Caffe、MXNet、Sonnet、Deepleaning</w:t>
            </w:r>
            <w:r>
              <w:rPr>
                <w:rFonts w:ascii="宋体" w:hAnsi="宋体" w:cs="宋体"/>
                <w:kern w:val="0"/>
                <w:sz w:val="18"/>
                <w:szCs w:val="18"/>
              </w:rPr>
              <w:t>4</w:t>
            </w:r>
            <w:r>
              <w:rPr>
                <w:rFonts w:hint="eastAsia" w:ascii="宋体" w:hAnsi="宋体" w:cs="宋体"/>
                <w:kern w:val="0"/>
                <w:sz w:val="18"/>
                <w:szCs w:val="18"/>
              </w:rPr>
              <w:t>j等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卷积神经网络</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了解卷积神经网络的起源、发展、应用概况</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掌握卷积神经网络结构</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掌握训练卷积神经网络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7</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目标分类</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了解目标分类的概念、种类</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掌握模型健壮性判断知识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掌握常用的数据集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8</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目标检测</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了解目标检测的基本知识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掌握区域卷积神经网络知识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掌握YOLO卷积神经知识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掌握单发多框检测（SSD）知识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9</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图像语义分割</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了解图像语义分割基本知识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掌握分割方法</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掌握自然图像分割模型FCN</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掌握医学图像分割模型U</w:t>
            </w:r>
            <w:r>
              <w:rPr>
                <w:rFonts w:ascii="宋体" w:hAnsi="宋体" w:cs="宋体"/>
                <w:kern w:val="0"/>
                <w:sz w:val="18"/>
                <w:szCs w:val="18"/>
              </w:rPr>
              <w:t>-</w:t>
            </w:r>
            <w:r>
              <w:rPr>
                <w:rFonts w:hint="eastAsia" w:ascii="宋体" w:hAnsi="宋体" w:cs="宋体"/>
                <w:kern w:val="0"/>
                <w:sz w:val="18"/>
                <w:szCs w:val="18"/>
              </w:rPr>
              <w: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循环神经网络</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了解循环神经网络理论基础</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掌握长短期记忆网络</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掌握TensorFlow</w:t>
            </w:r>
            <w:r>
              <w:rPr>
                <w:rFonts w:ascii="宋体" w:hAnsi="宋体" w:cs="宋体"/>
                <w:kern w:val="0"/>
                <w:sz w:val="18"/>
                <w:szCs w:val="18"/>
              </w:rPr>
              <w:t xml:space="preserve"> 2.0</w:t>
            </w:r>
            <w:r>
              <w:rPr>
                <w:rFonts w:hint="eastAsia" w:ascii="宋体" w:hAnsi="宋体" w:cs="宋体"/>
                <w:kern w:val="0"/>
                <w:sz w:val="18"/>
                <w:szCs w:val="18"/>
              </w:rPr>
              <w:t>中的Cell分类，通过cell类构建RNN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自然语言处理</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掌握自然语言处理基本知识，如机器翻译、信息检索、自动文摘、问答系统、信息过滤、信息抽取、文本分类、语音识别等</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了解常用技术，如分词、停用词过滤、词干提取、词形还原、命名实体识别、序列标注、词向量与词嵌入</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实操：手动写word</w:t>
            </w:r>
            <w:r>
              <w:rPr>
                <w:rFonts w:ascii="宋体" w:hAnsi="宋体" w:cs="宋体"/>
                <w:kern w:val="0"/>
                <w:sz w:val="18"/>
                <w:szCs w:val="18"/>
              </w:rPr>
              <w:t>2</w:t>
            </w:r>
            <w:r>
              <w:rPr>
                <w:rFonts w:hint="eastAsia" w:ascii="宋体" w:hAnsi="宋体" w:cs="宋体"/>
                <w:kern w:val="0"/>
                <w:sz w:val="18"/>
                <w:szCs w:val="18"/>
              </w:rPr>
              <w:t>Vec、基于LSTM的评论情感分析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生成对抗网络</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了解生成对抗网络</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掌握GAN结构的变体</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掌握GAN的应用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ascii="宋体" w:hAnsi="宋体" w:cs="宋体"/>
                <w:kern w:val="0"/>
                <w:sz w:val="18"/>
                <w:szCs w:val="18"/>
              </w:rPr>
              <w:t>13</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强化学习</w:t>
            </w:r>
          </w:p>
        </w:tc>
        <w:tc>
          <w:tcPr>
            <w:tcW w:w="603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了解强化学习的特点和组成部分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掌握马尔可夫决策过程和动态规则</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掌握基于值函数的学习方法</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掌握基于策略函数的学习算法</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掌握Actor</w:t>
            </w:r>
            <w:r>
              <w:rPr>
                <w:rFonts w:ascii="宋体" w:hAnsi="宋体" w:cs="宋体"/>
                <w:kern w:val="0"/>
                <w:sz w:val="18"/>
                <w:szCs w:val="18"/>
              </w:rPr>
              <w:t>-</w:t>
            </w:r>
            <w:r>
              <w:rPr>
                <w:rFonts w:hint="eastAsia" w:ascii="宋体" w:hAnsi="宋体" w:cs="宋体"/>
                <w:kern w:val="0"/>
                <w:sz w:val="18"/>
                <w:szCs w:val="18"/>
              </w:rPr>
              <w:t>Critic算法</w:t>
            </w:r>
          </w:p>
        </w:tc>
      </w:tr>
    </w:tbl>
    <w:p>
      <w:pPr>
        <w:pStyle w:val="58"/>
        <w:ind w:left="380" w:firstLine="0" w:firstLineChars="0"/>
      </w:pPr>
    </w:p>
    <w:p>
      <w:pPr>
        <w:pStyle w:val="60"/>
        <w:spacing w:before="317" w:beforeLines="100" w:after="158" w:afterLines="50"/>
        <w:ind w:left="160" w:hanging="159" w:hangingChars="76"/>
        <w:rPr>
          <w:rFonts w:ascii="黑体" w:hAnsi="黑体" w:eastAsia="黑体" w:cs="黑体"/>
          <w:color w:val="000000"/>
        </w:rPr>
      </w:pPr>
      <w:r>
        <w:rPr>
          <w:rFonts w:hint="eastAsia" w:ascii="黑体" w:hAnsi="黑体" w:eastAsia="黑体" w:cs="黑体"/>
        </w:rPr>
        <w:t>K.3.2</w:t>
      </w:r>
      <w:r>
        <w:rPr>
          <w:rFonts w:hint="eastAsia" w:ascii="黑体" w:hAnsi="黑体" w:eastAsia="黑体" w:cs="黑体"/>
          <w:color w:val="000000"/>
        </w:rPr>
        <w:t xml:space="preserve"> 人工智能安全</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表K.</w:t>
      </w:r>
      <w:r>
        <w:rPr>
          <w:rFonts w:ascii="黑体" w:hAnsi="黑体" w:eastAsia="黑体" w:cs="黑体"/>
        </w:rPr>
        <w:t>3</w:t>
      </w:r>
      <w:r>
        <w:rPr>
          <w:rFonts w:hint="eastAsia" w:ascii="黑体" w:hAnsi="黑体" w:eastAsia="黑体" w:cs="黑体"/>
        </w:rPr>
        <w:t xml:space="preserve">  人工智能安全课程内容与要求</w:t>
      </w:r>
    </w:p>
    <w:tbl>
      <w:tblPr>
        <w:tblStyle w:val="28"/>
        <w:tblW w:w="936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章节号</w:t>
            </w:r>
          </w:p>
        </w:tc>
        <w:tc>
          <w:tcPr>
            <w:tcW w:w="183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章节名</w:t>
            </w:r>
          </w:p>
        </w:tc>
        <w:tc>
          <w:tcPr>
            <w:tcW w:w="658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人工智能安全概述</w:t>
            </w:r>
          </w:p>
        </w:tc>
        <w:tc>
          <w:tcPr>
            <w:tcW w:w="6582" w:type="dxa"/>
            <w:vAlign w:val="center"/>
          </w:tcPr>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了解人工智能与安全的辩证关系</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了解人工智能安全架构与分类</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了解人工智能所处位置及外部关联，如人工智能安全性、可靠性和可控性的关系、人工智能安全与法律、政策和标准的关系；人工智能安全与伦理之间的关系；人工智能安全测评与防控；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人工智能助力安全</w:t>
            </w:r>
          </w:p>
        </w:tc>
        <w:tc>
          <w:tcPr>
            <w:tcW w:w="658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了解人工智能助力安全基本概念</w:t>
            </w:r>
          </w:p>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掌握人工智能助力防御知识，如物理智能安防监控、智能入侵检测、恶意代码检测与分类、基于知识图谱的威胁猎杀、用户实体行为分析、垃圾邮件检测</w:t>
            </w:r>
          </w:p>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掌握人工智能助力攻击知识，如自动化网络攻击、助力于网络攻击和有害信息传播、虚假信息内容的制作；智能恶意代码、神经网络后门、对抗机器学习等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人工智能的内生安全</w:t>
            </w:r>
          </w:p>
        </w:tc>
        <w:tc>
          <w:tcPr>
            <w:tcW w:w="658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掌握人工智能的内生安全知识，如数据安全、框架安全、算法安全、模型安全、运行安全等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人工智能衍生安全</w:t>
            </w:r>
          </w:p>
        </w:tc>
        <w:tc>
          <w:tcPr>
            <w:tcW w:w="658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掌握人工智能衍生安全问题，如人工智能系统失误引发的安全事故；</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掌握人工智能行为体失控三要素</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掌握预防人工智能技术失控的举措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人工智能行为体</w:t>
            </w:r>
          </w:p>
        </w:tc>
        <w:tc>
          <w:tcPr>
            <w:tcW w:w="658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了解人工智能行为体的定义；</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了解人工智能行为体的类型</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掌握人工智能行为体的特性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人工智能行为体的保险箍</w:t>
            </w:r>
          </w:p>
        </w:tc>
        <w:tc>
          <w:tcPr>
            <w:tcW w:w="658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了解保险箍的体系架构和基本功能</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掌握保险箍的安全机制与安全围栏知识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掌握保险箍的增强功能、防控中心、生态环境知识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人工智能行为体的安全评估和检测</w:t>
            </w:r>
          </w:p>
        </w:tc>
        <w:tc>
          <w:tcPr>
            <w:tcW w:w="658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了解人工智能行为体的安全管理知识，如安全要素、风险评估、安全要求、功能评估等</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掌握人工智能行为体安全评估和检测的目标和方法、指标</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掌握人工智能行为体的检测流程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人工智能安全伦理准则</w:t>
            </w:r>
          </w:p>
        </w:tc>
        <w:tc>
          <w:tcPr>
            <w:tcW w:w="658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了解人工智能技术引发的伦理问题，如人权问题、伦理地位、责任伦理、风险问题</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了解人工智能技术发展的伦理准则</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了解人工智能行为体的伦理决策</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了解人工智能行为体的责任归咎</w:t>
            </w:r>
          </w:p>
        </w:tc>
      </w:tr>
    </w:tbl>
    <w:p>
      <w:pPr>
        <w:pStyle w:val="60"/>
        <w:spacing w:line="288" w:lineRule="auto"/>
        <w:ind w:left="380" w:firstLine="0" w:firstLineChars="0"/>
        <w:rPr>
          <w:rFonts w:ascii="宋体" w:hAnsi="宋体"/>
        </w:rPr>
      </w:pPr>
    </w:p>
    <w:p>
      <w:pPr>
        <w:widowControl/>
        <w:spacing w:line="288" w:lineRule="auto"/>
        <w:jc w:val="left"/>
        <w:rPr>
          <w:rFonts w:ascii="黑体" w:hAnsi="黑体" w:eastAsia="黑体" w:cs="黑体"/>
          <w:szCs w:val="21"/>
        </w:rPr>
      </w:pPr>
      <w:r>
        <w:rPr>
          <w:rFonts w:ascii="黑体" w:hAnsi="黑体" w:eastAsia="黑体" w:cs="黑体"/>
          <w:szCs w:val="21"/>
        </w:rPr>
        <w:br w:type="page"/>
      </w:r>
    </w:p>
    <w:p>
      <w:pPr>
        <w:tabs>
          <w:tab w:val="left" w:pos="3455"/>
        </w:tabs>
        <w:spacing w:line="360" w:lineRule="auto"/>
        <w:jc w:val="center"/>
        <w:outlineLvl w:val="0"/>
        <w:rPr>
          <w:rFonts w:ascii="黑体" w:hAnsi="黑体" w:eastAsia="黑体" w:cs="黑体"/>
          <w:szCs w:val="21"/>
        </w:rPr>
      </w:pPr>
      <w:bookmarkStart w:id="154" w:name="_Toc2281"/>
      <w:r>
        <w:rPr>
          <w:rFonts w:hint="eastAsia" w:ascii="黑体" w:hAnsi="黑体" w:eastAsia="黑体" w:cs="黑体"/>
          <w:szCs w:val="21"/>
        </w:rPr>
        <w:t>附 录O</w:t>
      </w:r>
      <w:bookmarkEnd w:id="154"/>
    </w:p>
    <w:p>
      <w:pPr>
        <w:tabs>
          <w:tab w:val="left" w:pos="3455"/>
        </w:tabs>
        <w:spacing w:line="360" w:lineRule="auto"/>
        <w:jc w:val="center"/>
        <w:outlineLvl w:val="0"/>
        <w:rPr>
          <w:rFonts w:ascii="黑体" w:hAnsi="黑体" w:eastAsia="黑体" w:cs="黑体"/>
          <w:szCs w:val="21"/>
        </w:rPr>
      </w:pPr>
      <w:bookmarkStart w:id="155" w:name="_Toc14870"/>
      <w:bookmarkStart w:id="156" w:name="_Toc13321"/>
      <w:r>
        <w:rPr>
          <w:rFonts w:hint="eastAsia" w:ascii="黑体" w:hAnsi="黑体" w:eastAsia="黑体" w:cs="黑体"/>
          <w:szCs w:val="21"/>
        </w:rPr>
        <w:t>（规范性）</w:t>
      </w:r>
      <w:bookmarkEnd w:id="155"/>
      <w:bookmarkEnd w:id="156"/>
    </w:p>
    <w:p>
      <w:pPr>
        <w:tabs>
          <w:tab w:val="left" w:pos="3455"/>
        </w:tabs>
        <w:spacing w:after="283" w:line="360" w:lineRule="auto"/>
        <w:jc w:val="center"/>
        <w:outlineLvl w:val="0"/>
        <w:rPr>
          <w:szCs w:val="21"/>
        </w:rPr>
      </w:pPr>
      <w:bookmarkStart w:id="157" w:name="_Toc16523"/>
      <w:bookmarkStart w:id="158" w:name="_Toc29882"/>
      <w:r>
        <w:rPr>
          <w:rFonts w:hint="eastAsia" w:ascii="黑体" w:hAnsi="黑体" w:eastAsia="黑体" w:cs="黑体"/>
          <w:szCs w:val="21"/>
        </w:rPr>
        <w:t>大数据安全考试大纲</w:t>
      </w:r>
      <w:bookmarkEnd w:id="157"/>
      <w:bookmarkEnd w:id="158"/>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O.1 目的</w:t>
      </w:r>
    </w:p>
    <w:p>
      <w:pPr>
        <w:pStyle w:val="60"/>
        <w:adjustRightInd w:val="0"/>
        <w:snapToGrid w:val="0"/>
        <w:spacing w:before="158" w:beforeLines="50" w:after="158"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为使考生达到本认证规范中网络空间安全专业人员在数据安全方向二级、三级能力要求，指导考生有效准备考试，特制定本考试大纲（以下简称大纲。</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O.2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O.2.1课程要求</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表O.1 课程要求</w:t>
      </w:r>
    </w:p>
    <w:tbl>
      <w:tblPr>
        <w:tblStyle w:val="28"/>
        <w:tblW w:w="934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822"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信息安全技术</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822"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大数据技术与应用</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822"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大数据安全</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822"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rPr>
          <w:rFonts w:ascii="黑体" w:hAnsi="黑体" w:eastAsia="黑体" w:cs="黑体"/>
        </w:rPr>
      </w:pPr>
      <w:r>
        <w:rPr>
          <w:rFonts w:hint="eastAsia" w:ascii="黑体" w:hAnsi="黑体" w:eastAsia="黑体" w:cs="黑体"/>
        </w:rPr>
        <w:t>O.3 各课程知识点要求</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O.3.1 大数据技术与应用</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表O.</w:t>
      </w:r>
      <w:r>
        <w:rPr>
          <w:rFonts w:ascii="黑体" w:hAnsi="黑体" w:eastAsia="黑体" w:cs="黑体"/>
        </w:rPr>
        <w:t xml:space="preserve">2 </w:t>
      </w:r>
      <w:r>
        <w:rPr>
          <w:rFonts w:hint="eastAsia" w:ascii="黑体" w:hAnsi="黑体" w:eastAsia="黑体" w:cs="黑体"/>
        </w:rPr>
        <w:t>大数据技术与应用课程内容与要求</w:t>
      </w:r>
    </w:p>
    <w:tbl>
      <w:tblPr>
        <w:tblStyle w:val="28"/>
        <w:tblW w:w="933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95"/>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9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083"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w:t>
            </w:r>
          </w:p>
        </w:tc>
        <w:tc>
          <w:tcPr>
            <w:tcW w:w="6083"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了解大数据处理的基础技术，如大数据相关概念、处理流程、基础技术</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了解主流大数据技术</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了解大数据平台解决方案</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了解大数据发展现状和趋势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大数据基础软件</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掌握Linux基础知识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掌握Java基础知识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掌握SQL语言基础知识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了解数据库基础知识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大数据采集</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了解大数据采集技术</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了解大数据采集工具</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了解八爪鱼、爬山虎采集器</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了解流数据采集工具Flume</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了解数据传输工具Sqoop工具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大数据存储</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了解数据库和数据仓库基本知识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了解分布式文件系统HDFS</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了解分布式分析引擎Kylin基本原理、架构、特性</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了解大数据仓库Hive的基本原理、架构和数据存储模型、应用场景</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了解NoSQL数据库</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了解键－值存储数据库Memcached、Redis</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了解面向文档数据库MongoDB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Spark内存计算框架</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了解Spark基础知识，如技术原理、运行架构</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了解RDD基本概念</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了解Spark</w:t>
            </w:r>
            <w:r>
              <w:rPr>
                <w:rFonts w:ascii="宋体" w:hAnsi="宋体" w:cs="宋体"/>
                <w:kern w:val="0"/>
                <w:sz w:val="18"/>
                <w:szCs w:val="18"/>
              </w:rPr>
              <w:t xml:space="preserve"> </w:t>
            </w:r>
            <w:r>
              <w:rPr>
                <w:rFonts w:hint="eastAsia" w:ascii="宋体" w:hAnsi="宋体" w:cs="宋体"/>
                <w:kern w:val="0"/>
                <w:sz w:val="18"/>
                <w:szCs w:val="18"/>
              </w:rPr>
              <w:t>SQL实时处理技术，掌握Spark</w:t>
            </w:r>
            <w:r>
              <w:rPr>
                <w:rFonts w:ascii="宋体" w:hAnsi="宋体" w:cs="宋体"/>
                <w:kern w:val="0"/>
                <w:sz w:val="18"/>
                <w:szCs w:val="18"/>
              </w:rPr>
              <w:t xml:space="preserve"> </w:t>
            </w:r>
            <w:r>
              <w:rPr>
                <w:rFonts w:hint="eastAsia" w:ascii="宋体" w:hAnsi="宋体" w:cs="宋体"/>
                <w:kern w:val="0"/>
                <w:sz w:val="18"/>
                <w:szCs w:val="18"/>
              </w:rPr>
              <w:t>MLlib数据挖掘库知识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掌握机器学习知识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大数据分析挖掘</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了解数据分析和数据挖掘的区别、常见数据分析挖掘工具</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了解数据挖掘十大算法</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掌握分类算法、决策树算法、推荐算法、Apriori算法知识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7</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大数据可视化</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了解大数据可视化基本知识、流程、展现形式</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掌握大数据可视化工具</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掌握Tableau、Power</w:t>
            </w:r>
            <w:r>
              <w:rPr>
                <w:rFonts w:ascii="宋体" w:hAnsi="宋体" w:cs="宋体"/>
                <w:kern w:val="0"/>
                <w:sz w:val="18"/>
                <w:szCs w:val="18"/>
              </w:rPr>
              <w:t xml:space="preserve"> </w:t>
            </w:r>
            <w:r>
              <w:rPr>
                <w:rFonts w:hint="eastAsia" w:ascii="宋体" w:hAnsi="宋体" w:cs="宋体"/>
                <w:kern w:val="0"/>
                <w:sz w:val="18"/>
                <w:szCs w:val="18"/>
              </w:rPr>
              <w:t>BI大数据可视化技术知识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288" w:lineRule="auto"/>
              <w:ind w:firstLine="0" w:firstLineChars="0"/>
              <w:jc w:val="center"/>
              <w:rPr>
                <w:rFonts w:ascii="宋体" w:hAnsi="宋体" w:cs="宋体"/>
                <w:kern w:val="0"/>
                <w:sz w:val="18"/>
                <w:szCs w:val="18"/>
              </w:rPr>
            </w:pPr>
            <w:r>
              <w:rPr>
                <w:rFonts w:hint="eastAsia" w:ascii="宋体" w:hAnsi="宋体" w:cs="宋体"/>
                <w:kern w:val="0"/>
                <w:sz w:val="18"/>
                <w:szCs w:val="18"/>
              </w:rPr>
              <w:t>8</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大数据应用</w:t>
            </w:r>
          </w:p>
        </w:tc>
        <w:tc>
          <w:tcPr>
            <w:tcW w:w="6083"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了解大数据在企业中的应用</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了解互联网大数据的应用</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了解大数据在零售、医疗领域的应用</w:t>
            </w:r>
          </w:p>
        </w:tc>
      </w:tr>
    </w:tbl>
    <w:p>
      <w:pPr>
        <w:pStyle w:val="58"/>
        <w:ind w:left="380" w:firstLine="0" w:firstLineChars="0"/>
      </w:pPr>
    </w:p>
    <w:p>
      <w:pPr>
        <w:pStyle w:val="60"/>
        <w:spacing w:before="317" w:beforeLines="100" w:after="158" w:afterLines="50"/>
        <w:ind w:left="160" w:hanging="159" w:hangingChars="76"/>
        <w:rPr>
          <w:rFonts w:ascii="黑体" w:hAnsi="黑体" w:eastAsia="黑体" w:cs="黑体"/>
          <w:color w:val="000000"/>
        </w:rPr>
      </w:pPr>
      <w:r>
        <w:rPr>
          <w:rFonts w:hint="eastAsia" w:ascii="黑体" w:hAnsi="黑体" w:eastAsia="黑体" w:cs="黑体"/>
        </w:rPr>
        <w:t>O.3.2</w:t>
      </w:r>
      <w:r>
        <w:rPr>
          <w:rFonts w:hint="eastAsia" w:ascii="黑体" w:hAnsi="黑体" w:eastAsia="黑体" w:cs="黑体"/>
          <w:color w:val="000000"/>
        </w:rPr>
        <w:t xml:space="preserve"> 大数据安全</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表O.</w:t>
      </w:r>
      <w:r>
        <w:rPr>
          <w:rFonts w:ascii="黑体" w:hAnsi="黑体" w:eastAsia="黑体" w:cs="黑体"/>
        </w:rPr>
        <w:t>3</w:t>
      </w:r>
      <w:r>
        <w:rPr>
          <w:rFonts w:hint="eastAsia" w:ascii="黑体" w:hAnsi="黑体" w:eastAsia="黑体" w:cs="黑体"/>
        </w:rPr>
        <w:t xml:space="preserve">  大数据安全课程内容与要求</w:t>
      </w:r>
    </w:p>
    <w:tbl>
      <w:tblPr>
        <w:tblStyle w:val="28"/>
        <w:tblW w:w="933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章节号</w:t>
            </w:r>
          </w:p>
        </w:tc>
        <w:tc>
          <w:tcPr>
            <w:tcW w:w="183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章节名</w:t>
            </w:r>
          </w:p>
        </w:tc>
        <w:tc>
          <w:tcPr>
            <w:tcW w:w="655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大数据安全挑战和现状</w:t>
            </w:r>
          </w:p>
        </w:tc>
        <w:tc>
          <w:tcPr>
            <w:tcW w:w="6552" w:type="dxa"/>
            <w:vAlign w:val="center"/>
          </w:tcPr>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了解大数据的概念、特性和安全需求</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了解大数据技术和平台的安全，如数据安全和个人信息保护、国家社会安全和法规标准；</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了解大数据安全现状，如国家安全法、网络安全法、大数据安全管理指南、数据安全能力成熟度模型、个人信息安全规范等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大数据治理</w:t>
            </w:r>
          </w:p>
        </w:tc>
        <w:tc>
          <w:tcPr>
            <w:tcW w:w="655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了解大数据治理概念和重要性</w:t>
            </w:r>
          </w:p>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掌握大数据治理的原则和范围</w:t>
            </w:r>
          </w:p>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了解大数据技术架构</w:t>
            </w:r>
          </w:p>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了解大数据治理实施的目标、动力、实施过程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大数据安全创建</w:t>
            </w:r>
          </w:p>
        </w:tc>
        <w:tc>
          <w:tcPr>
            <w:tcW w:w="655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掌握大数据采集的分类分级、安全管理、数据源鉴别和记录知识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掌握大数据的导入导出基本原则、安全策略、制度流程</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掌握大数据查询的特权账户管理、敏感数据的访问控制等知识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大数据的传输和存储安全</w:t>
            </w:r>
          </w:p>
        </w:tc>
        <w:tc>
          <w:tcPr>
            <w:tcW w:w="655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掌握大数据的传输加密知识，如大数据内容加密、网络加密、身份认证、签名与验签等</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掌握网络可用性的管理指标、负载均衡、大数据方泄露知识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掌握大数据存储知识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大数据处理安全</w:t>
            </w:r>
          </w:p>
        </w:tc>
        <w:tc>
          <w:tcPr>
            <w:tcW w:w="655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掌握数据脱敏知识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掌握大数据分析安全知识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掌握大数据正当使用知识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了解大数据处理环境，如Hadoop、Spark等处理平台知识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大数据安全交换</w:t>
            </w:r>
          </w:p>
        </w:tc>
        <w:tc>
          <w:tcPr>
            <w:tcW w:w="655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了解大数据安全交换概念、面临的安全威胁</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掌握大数据共享原则、模型、安全框架知识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掌握大数据数据接口安全限制、格式规范、异常检测应用等知识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大数据恢复与销毁</w:t>
            </w:r>
          </w:p>
        </w:tc>
        <w:tc>
          <w:tcPr>
            <w:tcW w:w="655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掌握大数据备份知识，如备份类型、加密等；</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掌握大数据恢复知识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掌握大数据销毁处置知识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掌握存储媒体的销毁处置策略和方法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spacing w:line="288"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大数据安全态势感知</w:t>
            </w:r>
          </w:p>
        </w:tc>
        <w:tc>
          <w:tcPr>
            <w:tcW w:w="655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掌握大数据安全态势感知平台知识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掌握数据融合的技术和方法方面的知识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掌握数据挖掘技术和特征提取技术知识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掌握态势预测技术知识</w:t>
            </w:r>
          </w:p>
        </w:tc>
      </w:tr>
    </w:tbl>
    <w:p>
      <w:pPr>
        <w:pStyle w:val="60"/>
        <w:spacing w:line="288" w:lineRule="auto"/>
        <w:ind w:left="380" w:firstLine="0" w:firstLineChars="0"/>
        <w:rPr>
          <w:rFonts w:ascii="宋体" w:hAnsi="宋体"/>
        </w:rPr>
      </w:pPr>
    </w:p>
    <w:p>
      <w:pPr>
        <w:widowControl/>
        <w:jc w:val="left"/>
        <w:rPr>
          <w:rFonts w:ascii="黑体" w:hAnsi="黑体" w:eastAsia="黑体" w:cs="黑体"/>
          <w:szCs w:val="21"/>
        </w:rPr>
      </w:pPr>
    </w:p>
    <w:p>
      <w:pPr>
        <w:widowControl/>
        <w:jc w:val="left"/>
        <w:rPr>
          <w:rFonts w:ascii="黑体" w:hAnsi="黑体" w:eastAsia="黑体" w:cs="黑体"/>
          <w:color w:val="FF0000"/>
          <w:szCs w:val="21"/>
        </w:rPr>
      </w:pPr>
      <w:r>
        <w:rPr>
          <w:rFonts w:ascii="黑体" w:hAnsi="黑体" w:eastAsia="黑体" w:cs="黑体"/>
          <w:color w:val="FF0000"/>
          <w:szCs w:val="21"/>
        </w:rPr>
        <w:br w:type="page"/>
      </w:r>
    </w:p>
    <w:p>
      <w:pPr>
        <w:tabs>
          <w:tab w:val="left" w:pos="3455"/>
        </w:tabs>
        <w:spacing w:line="360" w:lineRule="auto"/>
        <w:jc w:val="center"/>
        <w:outlineLvl w:val="0"/>
        <w:rPr>
          <w:rFonts w:ascii="黑体" w:hAnsi="黑体" w:eastAsia="黑体" w:cs="黑体"/>
          <w:szCs w:val="21"/>
        </w:rPr>
      </w:pPr>
      <w:bookmarkStart w:id="159" w:name="_Toc24103"/>
      <w:r>
        <w:rPr>
          <w:rFonts w:hint="eastAsia" w:ascii="黑体" w:hAnsi="黑体" w:eastAsia="黑体" w:cs="黑体"/>
          <w:szCs w:val="21"/>
        </w:rPr>
        <w:t>附 录P</w:t>
      </w:r>
      <w:bookmarkEnd w:id="159"/>
    </w:p>
    <w:p>
      <w:pPr>
        <w:tabs>
          <w:tab w:val="left" w:pos="3455"/>
        </w:tabs>
        <w:spacing w:line="360" w:lineRule="auto"/>
        <w:jc w:val="center"/>
        <w:outlineLvl w:val="0"/>
        <w:rPr>
          <w:rFonts w:ascii="黑体" w:hAnsi="黑体" w:eastAsia="黑体" w:cs="黑体"/>
          <w:szCs w:val="21"/>
        </w:rPr>
      </w:pPr>
      <w:bookmarkStart w:id="160" w:name="_Toc24983"/>
      <w:bookmarkStart w:id="161" w:name="_Toc2647"/>
      <w:r>
        <w:rPr>
          <w:rFonts w:hint="eastAsia" w:ascii="黑体" w:hAnsi="黑体" w:eastAsia="黑体" w:cs="黑体"/>
          <w:szCs w:val="21"/>
        </w:rPr>
        <w:t>（规范性）</w:t>
      </w:r>
      <w:bookmarkEnd w:id="160"/>
      <w:bookmarkEnd w:id="161"/>
    </w:p>
    <w:p>
      <w:pPr>
        <w:tabs>
          <w:tab w:val="left" w:pos="3455"/>
        </w:tabs>
        <w:spacing w:after="283" w:line="360" w:lineRule="auto"/>
        <w:jc w:val="center"/>
        <w:outlineLvl w:val="0"/>
        <w:rPr>
          <w:szCs w:val="21"/>
        </w:rPr>
      </w:pPr>
      <w:bookmarkStart w:id="162" w:name="_Toc10323"/>
      <w:bookmarkStart w:id="163" w:name="_Toc19348"/>
      <w:r>
        <w:rPr>
          <w:rFonts w:hint="eastAsia" w:ascii="黑体" w:hAnsi="黑体" w:eastAsia="黑体" w:cs="黑体"/>
          <w:szCs w:val="21"/>
        </w:rPr>
        <w:t>工业控制系统安全考试大纲</w:t>
      </w:r>
      <w:bookmarkEnd w:id="162"/>
      <w:bookmarkEnd w:id="163"/>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P.1 目的</w:t>
      </w:r>
    </w:p>
    <w:p>
      <w:pPr>
        <w:pStyle w:val="60"/>
        <w:adjustRightInd w:val="0"/>
        <w:snapToGrid w:val="0"/>
        <w:spacing w:before="158" w:beforeLines="50" w:after="158" w:afterLines="50" w:line="360" w:lineRule="auto"/>
        <w:rPr>
          <w:rFonts w:ascii="宋体" w:hAnsi="宋体" w:cs="宋体"/>
        </w:rPr>
      </w:pPr>
      <w:r>
        <w:rPr>
          <w:rFonts w:hint="eastAsia" w:ascii="宋体" w:hAnsi="宋体" w:cs="宋体"/>
        </w:rPr>
        <w:t>为使考生达到本认证规范中网络空间安全专业人员在工业控制系统安全方向二级、三级能力要求，指导考生有效准备考试，特制定本考试大纲（以下简称大纲）。</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P.2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P.2.1课程要求</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表P.1 课程要求</w:t>
      </w:r>
    </w:p>
    <w:tbl>
      <w:tblPr>
        <w:tblStyle w:val="28"/>
        <w:tblW w:w="932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805"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信息安全技术</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805"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工业控制系统安全</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805"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rPr>
          <w:rFonts w:ascii="黑体" w:hAnsi="黑体" w:eastAsia="黑体" w:cs="黑体"/>
        </w:rPr>
      </w:pPr>
      <w:r>
        <w:rPr>
          <w:rFonts w:hint="eastAsia" w:ascii="黑体" w:hAnsi="黑体" w:eastAsia="黑体" w:cs="黑体"/>
        </w:rPr>
        <w:t>P.3 各课程知识点要求</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P.3.1 工业控制系统安全</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表P.</w:t>
      </w:r>
      <w:r>
        <w:rPr>
          <w:rFonts w:ascii="黑体" w:hAnsi="黑体" w:eastAsia="黑体" w:cs="黑体"/>
        </w:rPr>
        <w:t xml:space="preserve">2 </w:t>
      </w:r>
      <w:r>
        <w:rPr>
          <w:rFonts w:hint="eastAsia" w:ascii="黑体" w:hAnsi="黑体" w:eastAsia="黑体" w:cs="黑体"/>
        </w:rPr>
        <w:t>工业系统控制安全课程内容与要求</w:t>
      </w:r>
    </w:p>
    <w:tbl>
      <w:tblPr>
        <w:tblStyle w:val="28"/>
        <w:tblW w:w="931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95"/>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章节号</w:t>
            </w:r>
          </w:p>
        </w:tc>
        <w:tc>
          <w:tcPr>
            <w:tcW w:w="2395"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066" w:type="dxa"/>
            <w:vAlign w:val="center"/>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工业控制系统概述</w:t>
            </w:r>
          </w:p>
        </w:tc>
        <w:tc>
          <w:tcPr>
            <w:tcW w:w="6066" w:type="dxa"/>
            <w:vAlign w:val="center"/>
          </w:tcPr>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了解工业控制系统的显示功能、监控功能、控制功能知识</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了解工业控制系统架构，如可编程逻辑控制器、人机界面、监控和数据采集、分布式控制系统、安全仪表系统等</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了解Purdue工业控制系统模型</w:t>
            </w:r>
          </w:p>
          <w:p>
            <w:pPr>
              <w:spacing w:line="288" w:lineRule="auto"/>
              <w:jc w:val="left"/>
              <w:rPr>
                <w:rFonts w:ascii="宋体" w:hAnsi="宋体" w:eastAsia="宋体" w:cs="宋体"/>
                <w:kern w:val="0"/>
                <w:sz w:val="18"/>
                <w:szCs w:val="18"/>
              </w:rPr>
            </w:pPr>
            <w:r>
              <w:rPr>
                <w:rFonts w:hint="eastAsia" w:ascii="宋体" w:hAnsi="宋体" w:eastAsia="宋体" w:cs="宋体"/>
                <w:kern w:val="0"/>
                <w:sz w:val="18"/>
                <w:szCs w:val="18"/>
              </w:rPr>
              <w:t>掌握工业控制系统通讯介质和协议知识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工业控制系统安全概述</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了解工业控制系统安全的历史</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了解Modbus及其协议知识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了解PROFINET</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了解ICS中常见的IT协议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ICS工具场景剖析</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掌握ICS攻击场景知识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ICS风险评估</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了解ICS攻击、目标和结果</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掌握ICS风险评估知识，如资产识别和系统特性、漏洞识别和威胁建模、风险计算及风险缓解等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Purdue模型与全厂融合以太网</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掌握Purdue企业参考架构知识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深度防御模型</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掌握ICS物理安全、网络安全、计算机安全、应用安全、设备安全知识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掌握ICS安全策略、流程和安全意识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7</w:t>
            </w:r>
          </w:p>
        </w:tc>
        <w:tc>
          <w:tcPr>
            <w:tcW w:w="2395"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ICS物理安全</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熟练掌握ICS物理安全知识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8</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ICS网络安全</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熟练掌握ICS网络安全知识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9</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ICS计算机安全</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熟练掌握ICS计算机安全知识，如终端加固、配置和变更管理、终端保护软件等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ICS应用安全</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熟练掌握ICS应用安全知识，如输入验证漏洞、软件篡改、认证漏洞、授权漏洞、非安全配置漏洞、会话管理漏洞、参数操纵漏洞等</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熟练掌握应用安全测试、应用补丁等知识</w:t>
            </w:r>
          </w:p>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了解ICS安全SDLC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ICS设备安全</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熟练掌握ICS设备加固、设备补丁、设备生命周期等知识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2395" w:type="dxa"/>
            <w:vAlign w:val="center"/>
          </w:tcPr>
          <w:p>
            <w:pPr>
              <w:pStyle w:val="58"/>
              <w:spacing w:line="288" w:lineRule="auto"/>
              <w:ind w:firstLine="0" w:firstLineChars="0"/>
              <w:rPr>
                <w:rFonts w:ascii="宋体" w:hAnsi="宋体" w:cs="宋体"/>
                <w:kern w:val="0"/>
                <w:sz w:val="18"/>
                <w:szCs w:val="18"/>
              </w:rPr>
            </w:pPr>
            <w:r>
              <w:rPr>
                <w:rFonts w:hint="eastAsia" w:ascii="宋体" w:hAnsi="宋体" w:cs="宋体"/>
                <w:kern w:val="0"/>
                <w:sz w:val="18"/>
                <w:szCs w:val="18"/>
              </w:rPr>
              <w:t>ICS网络安全计划开发过程</w:t>
            </w:r>
          </w:p>
        </w:tc>
        <w:tc>
          <w:tcPr>
            <w:tcW w:w="6066" w:type="dxa"/>
            <w:vAlign w:val="center"/>
          </w:tcPr>
          <w:p>
            <w:pPr>
              <w:pStyle w:val="58"/>
              <w:spacing w:line="288" w:lineRule="auto"/>
              <w:ind w:firstLine="0" w:firstLineChars="0"/>
              <w:jc w:val="left"/>
              <w:rPr>
                <w:rFonts w:ascii="宋体" w:hAnsi="宋体" w:cs="宋体"/>
                <w:kern w:val="0"/>
                <w:sz w:val="18"/>
                <w:szCs w:val="18"/>
              </w:rPr>
            </w:pPr>
            <w:r>
              <w:rPr>
                <w:rFonts w:hint="eastAsia" w:ascii="宋体" w:hAnsi="宋体" w:cs="宋体"/>
                <w:kern w:val="0"/>
                <w:sz w:val="18"/>
                <w:szCs w:val="18"/>
              </w:rPr>
              <w:t>熟练掌握ICS网络安全开发过程知识，如安全策略、标准、指南和程序等</w:t>
            </w:r>
          </w:p>
        </w:tc>
      </w:tr>
    </w:tbl>
    <w:p>
      <w:pPr>
        <w:pStyle w:val="58"/>
        <w:ind w:left="380" w:firstLine="0" w:firstLineChars="0"/>
      </w:pPr>
    </w:p>
    <w:p>
      <w:pPr>
        <w:widowControl/>
        <w:jc w:val="left"/>
        <w:rPr>
          <w:rFonts w:ascii="黑体" w:hAnsi="黑体" w:eastAsia="黑体" w:cs="黑体"/>
          <w:szCs w:val="21"/>
        </w:rPr>
      </w:pPr>
      <w:r>
        <w:rPr>
          <w:rFonts w:ascii="黑体" w:hAnsi="黑体" w:eastAsia="黑体" w:cs="黑体"/>
          <w:szCs w:val="21"/>
        </w:rPr>
        <w:br w:type="page"/>
      </w:r>
    </w:p>
    <w:p>
      <w:pPr>
        <w:tabs>
          <w:tab w:val="left" w:pos="3455"/>
        </w:tabs>
        <w:spacing w:line="360" w:lineRule="auto"/>
        <w:jc w:val="center"/>
        <w:outlineLvl w:val="0"/>
        <w:rPr>
          <w:rFonts w:ascii="黑体" w:hAnsi="黑体" w:eastAsia="黑体" w:cs="黑体"/>
          <w:szCs w:val="21"/>
        </w:rPr>
      </w:pPr>
      <w:bookmarkStart w:id="164" w:name="_Toc30945"/>
      <w:r>
        <w:rPr>
          <w:rFonts w:hint="eastAsia" w:ascii="黑体" w:hAnsi="黑体" w:eastAsia="黑体" w:cs="黑体"/>
          <w:szCs w:val="21"/>
        </w:rPr>
        <w:t>附 录Q</w:t>
      </w:r>
      <w:bookmarkEnd w:id="164"/>
    </w:p>
    <w:p>
      <w:pPr>
        <w:tabs>
          <w:tab w:val="left" w:pos="3455"/>
        </w:tabs>
        <w:spacing w:line="360" w:lineRule="auto"/>
        <w:jc w:val="center"/>
        <w:outlineLvl w:val="0"/>
        <w:rPr>
          <w:rFonts w:ascii="黑体" w:hAnsi="黑体" w:eastAsia="黑体" w:cs="黑体"/>
          <w:szCs w:val="21"/>
        </w:rPr>
      </w:pPr>
      <w:bookmarkStart w:id="165" w:name="_Toc12166"/>
      <w:bookmarkStart w:id="166" w:name="_Toc5783"/>
      <w:r>
        <w:rPr>
          <w:rFonts w:hint="eastAsia" w:ascii="黑体" w:hAnsi="黑体" w:eastAsia="黑体" w:cs="黑体"/>
          <w:szCs w:val="21"/>
        </w:rPr>
        <w:t>（规范性）</w:t>
      </w:r>
      <w:bookmarkEnd w:id="165"/>
      <w:bookmarkEnd w:id="166"/>
    </w:p>
    <w:p>
      <w:pPr>
        <w:tabs>
          <w:tab w:val="left" w:pos="3455"/>
        </w:tabs>
        <w:spacing w:after="283" w:line="360" w:lineRule="auto"/>
        <w:jc w:val="center"/>
        <w:outlineLvl w:val="0"/>
        <w:rPr>
          <w:szCs w:val="21"/>
        </w:rPr>
      </w:pPr>
      <w:bookmarkStart w:id="167" w:name="_Toc14493"/>
      <w:bookmarkStart w:id="168" w:name="_Toc8847"/>
      <w:r>
        <w:rPr>
          <w:rFonts w:hint="eastAsia" w:ascii="黑体" w:hAnsi="黑体" w:eastAsia="黑体" w:cs="黑体"/>
          <w:szCs w:val="21"/>
        </w:rPr>
        <w:t>网络安全审计考试大纲</w:t>
      </w:r>
      <w:bookmarkEnd w:id="167"/>
      <w:bookmarkEnd w:id="168"/>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Q.1 目的</w:t>
      </w:r>
    </w:p>
    <w:p>
      <w:pPr>
        <w:pStyle w:val="60"/>
        <w:adjustRightInd w:val="0"/>
        <w:snapToGrid w:val="0"/>
        <w:spacing w:before="158" w:beforeLines="50" w:after="158"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为使考生达到本认证规范中网络空间安全专业人员在网络安全审计方向二级、三级能力要求，指导考生有效准备考试，特制定本考试大纲（以下简称大纲）。</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Q.2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Q.2.1课程要求和考试比例</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表Q.1 课程要求和考试比例</w:t>
      </w:r>
    </w:p>
    <w:tbl>
      <w:tblPr>
        <w:tblStyle w:val="28"/>
        <w:tblW w:w="931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790"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网络安全管理实践</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790"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信息安全技术</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790"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信息安全审计</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90"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rPr>
          <w:rFonts w:ascii="黑体" w:hAnsi="黑体" w:eastAsia="黑体" w:cs="黑体"/>
        </w:rPr>
      </w:pPr>
      <w:r>
        <w:rPr>
          <w:rFonts w:hint="eastAsia" w:ascii="黑体" w:hAnsi="黑体" w:eastAsia="黑体" w:cs="黑体"/>
        </w:rPr>
        <w:t>Q.3 各课程知识点要求</w:t>
      </w:r>
    </w:p>
    <w:p>
      <w:pPr>
        <w:pStyle w:val="60"/>
        <w:spacing w:before="317" w:beforeLines="100" w:after="158" w:afterLines="50"/>
        <w:ind w:left="160" w:hanging="159" w:hangingChars="76"/>
        <w:rPr>
          <w:rFonts w:ascii="黑体" w:hAnsi="黑体" w:eastAsia="黑体" w:cs="黑体"/>
          <w:color w:val="000000"/>
        </w:rPr>
      </w:pPr>
      <w:r>
        <w:rPr>
          <w:rFonts w:hint="eastAsia" w:ascii="黑体" w:hAnsi="黑体" w:eastAsia="黑体" w:cs="黑体"/>
        </w:rPr>
        <w:t>Q.3.1</w:t>
      </w:r>
      <w:r>
        <w:rPr>
          <w:rFonts w:hint="eastAsia" w:ascii="黑体" w:hAnsi="黑体" w:eastAsia="黑体" w:cs="黑体"/>
          <w:color w:val="000000"/>
        </w:rPr>
        <w:t xml:space="preserve"> 信息安全审计</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表Q.</w:t>
      </w:r>
      <w:r>
        <w:rPr>
          <w:rFonts w:ascii="黑体" w:hAnsi="黑体" w:eastAsia="黑体" w:cs="黑体"/>
        </w:rPr>
        <w:t>2</w:t>
      </w:r>
      <w:r>
        <w:rPr>
          <w:rFonts w:hint="eastAsia" w:ascii="黑体" w:hAnsi="黑体" w:eastAsia="黑体" w:cs="黑体"/>
        </w:rPr>
        <w:t xml:space="preserve">  信息安全审计课程内容与要求</w:t>
      </w:r>
    </w:p>
    <w:tbl>
      <w:tblPr>
        <w:tblStyle w:val="28"/>
        <w:tblW w:w="930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章节号</w:t>
            </w:r>
          </w:p>
        </w:tc>
        <w:tc>
          <w:tcPr>
            <w:tcW w:w="183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章节名</w:t>
            </w:r>
          </w:p>
        </w:tc>
        <w:tc>
          <w:tcPr>
            <w:tcW w:w="6522" w:type="dxa"/>
            <w:vAlign w:val="center"/>
          </w:tcPr>
          <w:p>
            <w:pPr>
              <w:pStyle w:val="60"/>
              <w:ind w:firstLine="0" w:firstLineChars="0"/>
              <w:jc w:val="center"/>
              <w:rPr>
                <w:rFonts w:ascii="黑体" w:hAnsi="黑体" w:eastAsia="黑体" w:cs="黑体"/>
                <w:color w:val="000000"/>
                <w:kern w:val="0"/>
              </w:rPr>
            </w:pPr>
            <w:r>
              <w:rPr>
                <w:rFonts w:hint="eastAsia" w:ascii="黑体" w:hAnsi="黑体" w:eastAsia="黑体" w:cs="黑体"/>
                <w:color w:val="000000"/>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信息安全审计概述</w:t>
            </w:r>
          </w:p>
        </w:tc>
        <w:tc>
          <w:tcPr>
            <w:tcW w:w="6522" w:type="dxa"/>
            <w:vAlign w:val="center"/>
          </w:tcPr>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了解信息安全现状</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了解信息系统面临的主要安全威胁</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了解信息安全目标与主要安全</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掌握信息系统安全设计知识，如信息系统的安全保护等级、信息系统安全风险的分析与控制等</w:t>
            </w:r>
          </w:p>
          <w:p>
            <w:pPr>
              <w:spacing w:line="288"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了解信息安全事件、信息安全审计概念等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信息安全技术</w:t>
            </w:r>
          </w:p>
        </w:tc>
        <w:tc>
          <w:tcPr>
            <w:tcW w:w="652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了解信息系统安全基本概念、安全威胁与防范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实体访问控制的审计</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掌握IT组织与策略的审计知识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掌握实体级控件的风险与管理的审计知识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掌握实体级控件相关的审计知识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数据中心和灾备机制的审计</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了解数据中心的核心作用</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掌握数据中心的审计过程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路由器</w:t>
            </w:r>
            <w:r>
              <w:rPr>
                <w:rFonts w:ascii="宋体" w:hAnsi="宋体" w:cs="宋体"/>
                <w:color w:val="000000"/>
                <w:kern w:val="0"/>
                <w:sz w:val="18"/>
                <w:szCs w:val="18"/>
              </w:rPr>
              <w:t>/</w:t>
            </w:r>
            <w:r>
              <w:rPr>
                <w:rFonts w:hint="eastAsia" w:ascii="宋体" w:hAnsi="宋体" w:cs="宋体"/>
                <w:color w:val="000000"/>
                <w:kern w:val="0"/>
                <w:sz w:val="18"/>
                <w:szCs w:val="18"/>
              </w:rPr>
              <w:t>防火墙的审计</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了解路由器和防火墙审计的重要性</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掌握路由器和防火墙审计的知识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Web应用的审计</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掌握主机操作系统审计知识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掌握Web服务器审计知识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掌握Web应用审计知识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数据库与云存储的审计</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掌握数据库的审计知识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掌握与计算和外部运营的审计知识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掌握云存储的审计知识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信息系统的审计</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掌握信息系统开发原理、基本流程和规范</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掌握信息系统安全机制如身份认证、访问控制、消息认证技术</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掌握信息系统安全审计知识，如审计流程和分析方法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信息安全审计风险、标准和法规</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掌握信息安全管理和风险评估知识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掌握信息安全审计标准与法规</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掌握信息安全等级保护知识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832" w:type="dxa"/>
            <w:vAlign w:val="center"/>
          </w:tcPr>
          <w:p>
            <w:pPr>
              <w:pStyle w:val="60"/>
              <w:spacing w:line="288"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信息安全审计流程</w:t>
            </w:r>
          </w:p>
        </w:tc>
        <w:tc>
          <w:tcPr>
            <w:tcW w:w="652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掌握COSO知识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掌握COBIT知识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掌握IT基础架构库知识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了解美国国家安全局信息技术评估方法</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了解我国的信息系统安全审计</w:t>
            </w:r>
          </w:p>
        </w:tc>
      </w:tr>
    </w:tbl>
    <w:p>
      <w:pPr>
        <w:pStyle w:val="60"/>
        <w:ind w:left="380" w:firstLine="0" w:firstLineChars="0"/>
        <w:rPr>
          <w:rFonts w:ascii="宋体" w:hAnsi="宋体"/>
        </w:rPr>
      </w:pPr>
    </w:p>
    <w:p>
      <w:pPr>
        <w:widowControl/>
        <w:jc w:val="left"/>
        <w:rPr>
          <w:rFonts w:ascii="黑体" w:hAnsi="黑体" w:eastAsia="黑体" w:cs="黑体"/>
          <w:szCs w:val="21"/>
        </w:rPr>
      </w:pPr>
      <w:r>
        <w:rPr>
          <w:rFonts w:ascii="黑体" w:hAnsi="黑体" w:eastAsia="黑体" w:cs="黑体"/>
          <w:szCs w:val="21"/>
        </w:rPr>
        <w:br w:type="page"/>
      </w:r>
    </w:p>
    <w:p>
      <w:pPr>
        <w:tabs>
          <w:tab w:val="left" w:pos="3455"/>
        </w:tabs>
        <w:spacing w:line="360" w:lineRule="auto"/>
        <w:jc w:val="center"/>
        <w:outlineLvl w:val="0"/>
        <w:rPr>
          <w:rFonts w:ascii="黑体" w:hAnsi="黑体" w:eastAsia="黑体" w:cs="黑体"/>
          <w:szCs w:val="21"/>
        </w:rPr>
      </w:pPr>
      <w:bookmarkStart w:id="169" w:name="_Toc3466"/>
      <w:r>
        <w:rPr>
          <w:rFonts w:hint="eastAsia" w:ascii="黑体" w:hAnsi="黑体" w:eastAsia="黑体" w:cs="黑体"/>
          <w:szCs w:val="21"/>
        </w:rPr>
        <w:t>附 录R</w:t>
      </w:r>
      <w:bookmarkEnd w:id="169"/>
    </w:p>
    <w:p>
      <w:pPr>
        <w:tabs>
          <w:tab w:val="left" w:pos="3455"/>
        </w:tabs>
        <w:spacing w:line="360" w:lineRule="auto"/>
        <w:jc w:val="center"/>
        <w:outlineLvl w:val="0"/>
        <w:rPr>
          <w:rFonts w:ascii="黑体" w:hAnsi="黑体" w:eastAsia="黑体" w:cs="黑体"/>
          <w:szCs w:val="21"/>
        </w:rPr>
      </w:pPr>
      <w:bookmarkStart w:id="170" w:name="_Toc9569"/>
      <w:r>
        <w:rPr>
          <w:rFonts w:hint="eastAsia" w:ascii="黑体" w:hAnsi="黑体" w:eastAsia="黑体" w:cs="黑体"/>
          <w:szCs w:val="21"/>
        </w:rPr>
        <w:t>（规范性）</w:t>
      </w:r>
      <w:bookmarkEnd w:id="170"/>
    </w:p>
    <w:p>
      <w:pPr>
        <w:tabs>
          <w:tab w:val="left" w:pos="3455"/>
        </w:tabs>
        <w:spacing w:after="283" w:line="360" w:lineRule="auto"/>
        <w:jc w:val="center"/>
        <w:outlineLvl w:val="0"/>
        <w:rPr>
          <w:szCs w:val="21"/>
        </w:rPr>
      </w:pPr>
      <w:bookmarkStart w:id="171" w:name="_Toc822"/>
      <w:r>
        <w:rPr>
          <w:rFonts w:hint="eastAsia" w:ascii="黑体" w:hAnsi="黑体" w:eastAsia="黑体" w:cs="黑体"/>
          <w:szCs w:val="21"/>
        </w:rPr>
        <w:t>渗透测试考试大纲</w:t>
      </w:r>
      <w:bookmarkEnd w:id="171"/>
    </w:p>
    <w:p>
      <w:pPr>
        <w:pStyle w:val="58"/>
        <w:adjustRightInd w:val="0"/>
        <w:snapToGrid w:val="0"/>
        <w:spacing w:after="158" w:afterLines="50" w:line="360" w:lineRule="auto"/>
        <w:ind w:firstLine="0" w:firstLineChars="0"/>
        <w:rPr>
          <w:rFonts w:ascii="黑体" w:hAnsi="黑体" w:eastAsia="黑体" w:cs="黑体"/>
        </w:rPr>
      </w:pPr>
      <w:r>
        <w:rPr>
          <w:rFonts w:hint="eastAsia" w:ascii="黑体" w:hAnsi="黑体" w:eastAsia="黑体" w:cs="黑体"/>
        </w:rPr>
        <w:t>R.1 目的</w:t>
      </w:r>
    </w:p>
    <w:p>
      <w:pPr>
        <w:pStyle w:val="60"/>
        <w:adjustRightInd w:val="0"/>
        <w:snapToGrid w:val="0"/>
        <w:spacing w:before="158" w:beforeLines="50" w:after="158" w:afterLines="50" w:line="360" w:lineRule="auto"/>
        <w:rPr>
          <w:rFonts w:ascii="宋体" w:hAnsi="宋体" w:cs="宋体"/>
        </w:rPr>
      </w:pPr>
      <w:r>
        <w:rPr>
          <w:rFonts w:hint="eastAsia" w:ascii="宋体" w:hAnsi="宋体" w:cs="宋体"/>
        </w:rPr>
        <w:t>为使考生达到本认证规范中网络空间安全专业人员在渗透测试方向二级、三级能力要求，指导考生有效准备考试，特制定本考试大纲（以下简称大纲）。</w:t>
      </w:r>
    </w:p>
    <w:p>
      <w:pPr>
        <w:pStyle w:val="60"/>
        <w:adjustRightInd w:val="0"/>
        <w:snapToGrid w:val="0"/>
        <w:spacing w:before="158" w:beforeLines="50" w:after="158" w:afterLines="50" w:line="360" w:lineRule="auto"/>
        <w:ind w:firstLine="0" w:firstLineChars="0"/>
        <w:rPr>
          <w:rFonts w:ascii="黑体" w:hAnsi="黑体" w:eastAsia="黑体" w:cs="黑体"/>
        </w:rPr>
      </w:pPr>
      <w:r>
        <w:rPr>
          <w:rFonts w:hint="eastAsia" w:ascii="黑体" w:hAnsi="黑体" w:eastAsia="黑体" w:cs="黑体"/>
        </w:rPr>
        <w:t>R.2 考试内容</w:t>
      </w:r>
    </w:p>
    <w:p>
      <w:pPr>
        <w:pStyle w:val="58"/>
        <w:adjustRightInd w:val="0"/>
        <w:snapToGrid w:val="0"/>
        <w:spacing w:line="360" w:lineRule="auto"/>
        <w:ind w:firstLine="0" w:firstLineChars="0"/>
        <w:rPr>
          <w:rFonts w:ascii="黑体" w:hAnsi="黑体" w:eastAsia="黑体" w:cs="黑体"/>
        </w:rPr>
      </w:pPr>
      <w:r>
        <w:rPr>
          <w:rFonts w:hint="eastAsia" w:ascii="黑体" w:hAnsi="黑体" w:eastAsia="黑体" w:cs="黑体"/>
        </w:rPr>
        <w:t>R.2.1课程要求</w:t>
      </w:r>
    </w:p>
    <w:p>
      <w:pPr>
        <w:pStyle w:val="58"/>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表Q.1 课程要求</w:t>
      </w:r>
    </w:p>
    <w:tbl>
      <w:tblPr>
        <w:tblStyle w:val="28"/>
        <w:tblW w:w="92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119"/>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402"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课程名称</w:t>
            </w:r>
          </w:p>
        </w:tc>
        <w:tc>
          <w:tcPr>
            <w:tcW w:w="3119"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课程类型</w:t>
            </w:r>
          </w:p>
        </w:tc>
        <w:tc>
          <w:tcPr>
            <w:tcW w:w="2760" w:type="dxa"/>
          </w:tcPr>
          <w:p>
            <w:pPr>
              <w:pStyle w:val="58"/>
              <w:spacing w:line="360" w:lineRule="auto"/>
              <w:ind w:firstLine="0" w:firstLineChars="0"/>
              <w:jc w:val="center"/>
              <w:rPr>
                <w:rFonts w:ascii="黑体" w:hAnsi="黑体" w:eastAsia="黑体" w:cs="黑体"/>
                <w:kern w:val="0"/>
              </w:rPr>
            </w:pPr>
            <w:r>
              <w:rPr>
                <w:rFonts w:hint="eastAsia" w:ascii="黑体" w:hAnsi="黑体" w:eastAsia="黑体" w:cs="黑体"/>
                <w:kern w:val="0"/>
              </w:rPr>
              <w:t>选择范围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信息安全技术</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基础课程</w:t>
            </w:r>
          </w:p>
        </w:tc>
        <w:tc>
          <w:tcPr>
            <w:tcW w:w="2760"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02" w:type="dxa"/>
          </w:tcPr>
          <w:p>
            <w:pPr>
              <w:pStyle w:val="58"/>
              <w:ind w:firstLine="0" w:firstLineChars="0"/>
              <w:jc w:val="left"/>
              <w:rPr>
                <w:rFonts w:ascii="宋体" w:hAnsi="宋体" w:cs="宋体"/>
                <w:kern w:val="0"/>
                <w:sz w:val="18"/>
                <w:szCs w:val="18"/>
              </w:rPr>
            </w:pPr>
            <w:r>
              <w:rPr>
                <w:rFonts w:hint="eastAsia" w:ascii="宋体" w:hAnsi="宋体" w:cs="宋体"/>
                <w:kern w:val="0"/>
                <w:sz w:val="18"/>
                <w:szCs w:val="18"/>
              </w:rPr>
              <w:t>渗透测试</w:t>
            </w:r>
          </w:p>
        </w:tc>
        <w:tc>
          <w:tcPr>
            <w:tcW w:w="3119"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专业课程</w:t>
            </w:r>
          </w:p>
        </w:tc>
        <w:tc>
          <w:tcPr>
            <w:tcW w:w="2760" w:type="dxa"/>
          </w:tcPr>
          <w:p>
            <w:pPr>
              <w:pStyle w:val="58"/>
              <w:ind w:firstLine="0" w:firstLineChars="0"/>
              <w:jc w:val="center"/>
              <w:rPr>
                <w:rFonts w:ascii="宋体" w:hAnsi="宋体" w:cs="宋体"/>
                <w:kern w:val="0"/>
                <w:sz w:val="18"/>
                <w:szCs w:val="18"/>
              </w:rPr>
            </w:pPr>
            <w:r>
              <w:rPr>
                <w:rFonts w:hint="eastAsia" w:ascii="宋体" w:hAnsi="宋体" w:cs="宋体"/>
                <w:kern w:val="0"/>
                <w:sz w:val="18"/>
                <w:szCs w:val="18"/>
              </w:rPr>
              <w:t>全部</w:t>
            </w:r>
          </w:p>
        </w:tc>
      </w:tr>
    </w:tbl>
    <w:p>
      <w:pPr>
        <w:pStyle w:val="58"/>
        <w:adjustRightInd w:val="0"/>
        <w:snapToGrid w:val="0"/>
        <w:spacing w:before="317" w:beforeLines="100" w:after="158" w:afterLines="50" w:line="360" w:lineRule="auto"/>
        <w:ind w:firstLine="0" w:firstLineChars="0"/>
        <w:rPr>
          <w:rFonts w:ascii="黑体" w:hAnsi="黑体" w:eastAsia="黑体" w:cs="黑体"/>
        </w:rPr>
      </w:pPr>
      <w:r>
        <w:rPr>
          <w:rFonts w:hint="eastAsia" w:ascii="黑体" w:hAnsi="黑体" w:eastAsia="黑体" w:cs="黑体"/>
        </w:rPr>
        <w:t>R.3 各课程知识点要求</w:t>
      </w:r>
    </w:p>
    <w:p>
      <w:pPr>
        <w:pStyle w:val="60"/>
        <w:spacing w:before="317" w:beforeLines="100" w:after="158" w:afterLines="50"/>
        <w:ind w:left="160" w:hanging="159" w:hangingChars="76"/>
        <w:rPr>
          <w:rFonts w:ascii="黑体" w:hAnsi="黑体" w:eastAsia="黑体" w:cs="黑体"/>
        </w:rPr>
      </w:pPr>
      <w:r>
        <w:rPr>
          <w:rFonts w:hint="eastAsia" w:ascii="黑体" w:hAnsi="黑体" w:eastAsia="黑体" w:cs="黑体"/>
        </w:rPr>
        <w:t>R.3.1 渗透测试</w:t>
      </w:r>
    </w:p>
    <w:p>
      <w:pPr>
        <w:pStyle w:val="60"/>
        <w:spacing w:after="158" w:afterLines="50"/>
        <w:ind w:left="378" w:hanging="378" w:hangingChars="180"/>
        <w:jc w:val="center"/>
        <w:rPr>
          <w:rFonts w:ascii="黑体" w:hAnsi="黑体" w:eastAsia="黑体" w:cs="黑体"/>
        </w:rPr>
      </w:pPr>
      <w:r>
        <w:rPr>
          <w:rFonts w:hint="eastAsia" w:ascii="黑体" w:hAnsi="黑体" w:eastAsia="黑体" w:cs="黑体"/>
        </w:rPr>
        <w:t>表Q.</w:t>
      </w:r>
      <w:r>
        <w:rPr>
          <w:rFonts w:ascii="黑体" w:hAnsi="黑体" w:eastAsia="黑体" w:cs="黑体"/>
        </w:rPr>
        <w:t>2</w:t>
      </w:r>
      <w:r>
        <w:rPr>
          <w:rFonts w:hint="eastAsia" w:ascii="黑体" w:hAnsi="黑体" w:eastAsia="黑体" w:cs="黑体"/>
        </w:rPr>
        <w:t xml:space="preserve">  渗透测试课程内容与要求</w:t>
      </w:r>
    </w:p>
    <w:tbl>
      <w:tblPr>
        <w:tblStyle w:val="28"/>
        <w:tblW w:w="907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ind w:firstLine="0" w:firstLineChars="0"/>
              <w:jc w:val="center"/>
              <w:rPr>
                <w:rFonts w:ascii="黑体" w:hAnsi="黑体" w:eastAsia="黑体" w:cs="黑体"/>
                <w:kern w:val="0"/>
              </w:rPr>
            </w:pPr>
            <w:r>
              <w:rPr>
                <w:rFonts w:hint="eastAsia" w:ascii="黑体" w:hAnsi="黑体" w:eastAsia="黑体" w:cs="黑体"/>
                <w:kern w:val="0"/>
              </w:rPr>
              <w:t>章节号</w:t>
            </w:r>
          </w:p>
        </w:tc>
        <w:tc>
          <w:tcPr>
            <w:tcW w:w="1832"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章节名</w:t>
            </w:r>
          </w:p>
        </w:tc>
        <w:tc>
          <w:tcPr>
            <w:tcW w:w="6299" w:type="dxa"/>
            <w:vAlign w:val="center"/>
          </w:tcPr>
          <w:p>
            <w:pPr>
              <w:pStyle w:val="60"/>
              <w:spacing w:line="288" w:lineRule="auto"/>
              <w:ind w:firstLine="0" w:firstLineChars="0"/>
              <w:jc w:val="center"/>
              <w:rPr>
                <w:rFonts w:ascii="黑体" w:hAnsi="黑体" w:eastAsia="黑体" w:cs="黑体"/>
                <w:kern w:val="0"/>
              </w:rPr>
            </w:pPr>
            <w:r>
              <w:rPr>
                <w:rFonts w:hint="eastAsia" w:ascii="黑体" w:hAnsi="黑体" w:eastAsia="黑体" w:cs="黑体"/>
                <w:kern w:val="0"/>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渗透测试基础</w:t>
            </w:r>
          </w:p>
        </w:tc>
        <w:tc>
          <w:tcPr>
            <w:tcW w:w="6299" w:type="dxa"/>
            <w:vAlign w:val="center"/>
          </w:tcPr>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了解渗透测试标准、流程、方法、原则、报告等内容</w:t>
            </w:r>
          </w:p>
          <w:p>
            <w:pPr>
              <w:spacing w:line="288" w:lineRule="auto"/>
              <w:rPr>
                <w:rFonts w:ascii="宋体" w:hAnsi="宋体" w:eastAsia="宋体" w:cs="宋体"/>
                <w:kern w:val="0"/>
                <w:sz w:val="18"/>
                <w:szCs w:val="18"/>
              </w:rPr>
            </w:pPr>
            <w:r>
              <w:rPr>
                <w:rFonts w:hint="eastAsia" w:ascii="宋体" w:hAnsi="宋体" w:eastAsia="宋体" w:cs="宋体"/>
                <w:kern w:val="0"/>
                <w:sz w:val="18"/>
                <w:szCs w:val="18"/>
              </w:rPr>
              <w:t>了解安全政策法规、标准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2</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渗透测试工具</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掌握渗透测试平台、工具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3</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信息收集原理与实践</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了解搜索引擎技术</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掌握域名信息收集、服务器信息收集、Web信息收集、和其他信息收集知识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4</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Web攻防原理</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掌握文件上传漏洞、下载漏洞、文件包含漏洞、SQL注入漏洞、命令执行漏洞、业务逻辑漏洞等知识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掌握XSS跨站脚本攻击、XXE</w:t>
            </w:r>
            <w:r>
              <w:rPr>
                <w:rFonts w:ascii="宋体" w:hAnsi="宋体" w:cs="宋体"/>
                <w:kern w:val="0"/>
                <w:sz w:val="18"/>
                <w:szCs w:val="18"/>
              </w:rPr>
              <w:t xml:space="preserve"> </w:t>
            </w:r>
            <w:r>
              <w:rPr>
                <w:rFonts w:hint="eastAsia" w:ascii="宋体" w:hAnsi="宋体" w:cs="宋体"/>
                <w:kern w:val="0"/>
                <w:sz w:val="18"/>
                <w:szCs w:val="18"/>
              </w:rPr>
              <w:t>XML实体注入、SSRF服务端请求伪造等知识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5</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中间件安全</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了解中间件分类、Web中间件知识</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掌握Apache安全、IIS安全、Tomcat安全、WebLogic安全等知识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6</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操作系统安全</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掌握操作系统windows、Linux知识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7</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数据库安全</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掌握SQL</w:t>
            </w:r>
            <w:r>
              <w:rPr>
                <w:rFonts w:ascii="宋体" w:hAnsi="宋体" w:cs="宋体"/>
                <w:kern w:val="0"/>
                <w:sz w:val="18"/>
                <w:szCs w:val="18"/>
              </w:rPr>
              <w:t xml:space="preserve"> </w:t>
            </w:r>
            <w:r>
              <w:rPr>
                <w:rFonts w:hint="eastAsia" w:ascii="宋体" w:hAnsi="宋体" w:cs="宋体"/>
                <w:kern w:val="0"/>
                <w:sz w:val="18"/>
                <w:szCs w:val="18"/>
              </w:rPr>
              <w:t>Server、MySQL、Oracle、其他数据库安全等知识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8</w:t>
            </w:r>
          </w:p>
        </w:tc>
        <w:tc>
          <w:tcPr>
            <w:tcW w:w="1832"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高级渗透技术</w:t>
            </w:r>
          </w:p>
        </w:tc>
        <w:tc>
          <w:tcPr>
            <w:tcW w:w="6299" w:type="dxa"/>
            <w:vAlign w:val="center"/>
          </w:tcPr>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掌握Web</w:t>
            </w:r>
            <w:r>
              <w:rPr>
                <w:rFonts w:ascii="宋体" w:hAnsi="宋体" w:cs="宋体"/>
                <w:kern w:val="0"/>
                <w:sz w:val="18"/>
                <w:szCs w:val="18"/>
              </w:rPr>
              <w:t xml:space="preserve"> </w:t>
            </w:r>
            <w:r>
              <w:rPr>
                <w:rFonts w:hint="eastAsia" w:ascii="宋体" w:hAnsi="宋体" w:cs="宋体"/>
                <w:kern w:val="0"/>
                <w:sz w:val="18"/>
                <w:szCs w:val="18"/>
              </w:rPr>
              <w:t>Shell查杀技术</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掌握WAF鉴别与探测技术</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掌握反弹Shell技术</w:t>
            </w:r>
          </w:p>
          <w:p>
            <w:pPr>
              <w:pStyle w:val="60"/>
              <w:spacing w:line="288" w:lineRule="auto"/>
              <w:ind w:firstLine="0" w:firstLineChars="0"/>
              <w:rPr>
                <w:rFonts w:ascii="宋体" w:hAnsi="宋体" w:cs="宋体"/>
                <w:kern w:val="0"/>
                <w:sz w:val="18"/>
                <w:szCs w:val="18"/>
              </w:rPr>
            </w:pPr>
            <w:r>
              <w:rPr>
                <w:rFonts w:hint="eastAsia" w:ascii="宋体" w:hAnsi="宋体" w:cs="宋体"/>
                <w:kern w:val="0"/>
                <w:sz w:val="18"/>
                <w:szCs w:val="18"/>
              </w:rPr>
              <w:t>掌握提权技术知识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 w:type="dxa"/>
            <w:vAlign w:val="center"/>
          </w:tcPr>
          <w:p>
            <w:pPr>
              <w:pStyle w:val="60"/>
              <w:ind w:firstLine="0" w:firstLineChars="0"/>
              <w:jc w:val="center"/>
              <w:rPr>
                <w:rFonts w:ascii="宋体" w:hAnsi="宋体" w:cs="宋体"/>
                <w:kern w:val="0"/>
                <w:sz w:val="18"/>
                <w:szCs w:val="18"/>
              </w:rPr>
            </w:pPr>
            <w:r>
              <w:rPr>
                <w:rFonts w:hint="eastAsia" w:ascii="宋体" w:hAnsi="宋体" w:cs="宋体"/>
                <w:kern w:val="0"/>
                <w:sz w:val="18"/>
                <w:szCs w:val="18"/>
              </w:rPr>
              <w:t>9</w:t>
            </w:r>
          </w:p>
        </w:tc>
        <w:tc>
          <w:tcPr>
            <w:tcW w:w="1832" w:type="dxa"/>
            <w:vAlign w:val="center"/>
          </w:tcPr>
          <w:p>
            <w:pPr>
              <w:pStyle w:val="60"/>
              <w:ind w:firstLine="0" w:firstLineChars="0"/>
              <w:rPr>
                <w:rFonts w:ascii="宋体" w:hAnsi="宋体" w:cs="宋体"/>
                <w:kern w:val="0"/>
                <w:sz w:val="18"/>
                <w:szCs w:val="18"/>
              </w:rPr>
            </w:pPr>
            <w:r>
              <w:rPr>
                <w:rFonts w:hint="eastAsia" w:ascii="宋体" w:hAnsi="宋体" w:cs="宋体"/>
                <w:kern w:val="0"/>
                <w:sz w:val="18"/>
                <w:szCs w:val="18"/>
              </w:rPr>
              <w:t>实战实例</w:t>
            </w:r>
          </w:p>
        </w:tc>
        <w:tc>
          <w:tcPr>
            <w:tcW w:w="6299" w:type="dxa"/>
            <w:vAlign w:val="center"/>
          </w:tcPr>
          <w:p>
            <w:pPr>
              <w:pStyle w:val="60"/>
              <w:ind w:firstLine="0" w:firstLineChars="0"/>
              <w:rPr>
                <w:rFonts w:ascii="宋体" w:hAnsi="宋体" w:cs="宋体"/>
                <w:kern w:val="0"/>
                <w:sz w:val="18"/>
                <w:szCs w:val="18"/>
              </w:rPr>
            </w:pPr>
            <w:r>
              <w:rPr>
                <w:rFonts w:hint="eastAsia" w:ascii="宋体" w:hAnsi="宋体" w:cs="宋体"/>
                <w:kern w:val="0"/>
                <w:sz w:val="18"/>
                <w:szCs w:val="18"/>
              </w:rPr>
              <w:t>掌握企业综合网络拓扑知识</w:t>
            </w:r>
          </w:p>
          <w:p>
            <w:pPr>
              <w:pStyle w:val="60"/>
              <w:ind w:firstLine="0" w:firstLineChars="0"/>
              <w:rPr>
                <w:rFonts w:ascii="宋体" w:hAnsi="宋体" w:cs="宋体"/>
                <w:kern w:val="0"/>
                <w:sz w:val="18"/>
                <w:szCs w:val="18"/>
              </w:rPr>
            </w:pPr>
            <w:r>
              <w:rPr>
                <w:rFonts w:hint="eastAsia" w:ascii="宋体" w:hAnsi="宋体" w:cs="宋体"/>
                <w:kern w:val="0"/>
                <w:sz w:val="18"/>
                <w:szCs w:val="18"/>
              </w:rPr>
              <w:t>掌握综合渗透思路、实践、网络安全防护等知识</w:t>
            </w:r>
          </w:p>
        </w:tc>
      </w:tr>
    </w:tbl>
    <w:p>
      <w:pPr>
        <w:pStyle w:val="60"/>
        <w:ind w:left="380" w:firstLine="0" w:firstLineChars="0"/>
        <w:rPr>
          <w:rFonts w:ascii="宋体" w:hAnsi="宋体"/>
        </w:rPr>
      </w:pPr>
    </w:p>
    <w:p>
      <w:pPr>
        <w:widowControl/>
        <w:jc w:val="left"/>
        <w:rPr>
          <w:rFonts w:ascii="黑体" w:hAnsi="黑体" w:eastAsia="黑体" w:cs="黑体"/>
          <w:szCs w:val="21"/>
        </w:rPr>
      </w:pPr>
      <w:r>
        <w:rPr>
          <w:rFonts w:ascii="黑体" w:hAnsi="黑体" w:eastAsia="黑体" w:cs="黑体"/>
          <w:szCs w:val="21"/>
        </w:rPr>
        <w:br w:type="page"/>
      </w:r>
    </w:p>
    <w:p>
      <w:pPr>
        <w:spacing w:before="850" w:after="283"/>
        <w:jc w:val="center"/>
        <w:outlineLvl w:val="0"/>
        <w:rPr>
          <w:rFonts w:ascii="黑体" w:hAnsi="黑体" w:eastAsia="黑体" w:cs="黑体"/>
        </w:rPr>
      </w:pPr>
      <w:bookmarkStart w:id="172" w:name="_Toc10912"/>
      <w:r>
        <w:rPr>
          <w:rFonts w:hint="eastAsia" w:ascii="黑体" w:hAnsi="黑体" w:eastAsia="黑体" w:cs="黑体"/>
        </w:rPr>
        <w:t>参 考 文 献</w:t>
      </w:r>
      <w:bookmarkEnd w:id="172"/>
    </w:p>
    <w:p>
      <w:pPr>
        <w:spacing w:line="360" w:lineRule="auto"/>
        <w:rPr>
          <w:rFonts w:ascii="宋体" w:hAnsi="宋体" w:eastAsia="宋体" w:cs="宋体"/>
        </w:rPr>
      </w:pPr>
      <w:r>
        <w:rPr>
          <w:rFonts w:hint="eastAsia" w:ascii="宋体" w:hAnsi="宋体" w:eastAsia="宋体" w:cs="宋体"/>
        </w:rPr>
        <w:t>[l] GB/T 18336.1—2015 信息技术 安全技术 信息技术安全评估准则 第1 部分：简介和 一般模型</w:t>
      </w:r>
    </w:p>
    <w:p>
      <w:pPr>
        <w:spacing w:line="360" w:lineRule="auto"/>
        <w:outlineLvl w:val="0"/>
        <w:rPr>
          <w:rFonts w:ascii="宋体" w:hAnsi="宋体" w:eastAsia="宋体" w:cs="宋体"/>
        </w:rPr>
      </w:pPr>
      <w:bookmarkStart w:id="173" w:name="_Toc25373"/>
      <w:bookmarkStart w:id="174" w:name="_Toc7893"/>
      <w:r>
        <w:rPr>
          <w:rFonts w:hint="eastAsia" w:ascii="宋体" w:hAnsi="宋体" w:eastAsia="宋体" w:cs="宋体"/>
        </w:rPr>
        <w:t>[2] GB/T 27203-2016 合格评定 用于人员认证的人员能力词汇</w:t>
      </w:r>
      <w:bookmarkEnd w:id="173"/>
      <w:bookmarkEnd w:id="174"/>
    </w:p>
    <w:p>
      <w:pPr>
        <w:spacing w:line="360" w:lineRule="auto"/>
        <w:outlineLvl w:val="0"/>
      </w:pPr>
      <w:bookmarkStart w:id="175" w:name="_Toc6972"/>
      <w:bookmarkStart w:id="176" w:name="_Toc15178"/>
      <w:r>
        <w:rPr>
          <w:rFonts w:hint="eastAsia" w:ascii="宋体" w:hAnsi="宋体" w:eastAsia="宋体" w:cs="宋体"/>
        </w:rPr>
        <w:t>[3] GB/T 27024-2014 合格评定 人员认证机构通用要求</w:t>
      </w:r>
      <w:bookmarkEnd w:id="175"/>
      <w:bookmarkEnd w:id="176"/>
    </w:p>
    <w:sectPr>
      <w:footerReference r:id="rId12" w:type="default"/>
      <w:footerReference r:id="rId13" w:type="even"/>
      <w:pgSz w:w="11900" w:h="16838"/>
      <w:pgMar w:top="1417" w:right="1134" w:bottom="1440" w:left="1417" w:header="454" w:footer="794"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Songti SC Light">
    <w:altName w:val="宋体"/>
    <w:panose1 w:val="00000000000000000000"/>
    <w:charset w:val="86"/>
    <w:family w:val="auto"/>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spacing w:before="850"/>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p>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left="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spacing w:before="0"/>
      <w:rPr>
        <w:rFonts w:ascii="黑体" w:eastAsia="黑体"/>
        <w:color w:val="000000"/>
        <w:sz w:val="21"/>
        <w:szCs w:val="21"/>
      </w:rPr>
    </w:pPr>
    <w:r>
      <w:rPr>
        <w:rFonts w:hint="eastAsia" w:eastAsia="黑体"/>
        <w:b/>
        <w:color w:val="000000"/>
        <w:sz w:val="21"/>
        <w:szCs w:val="21"/>
      </w:rPr>
      <w:t>T</w:t>
    </w:r>
    <w:r>
      <w:rPr>
        <w:rFonts w:hint="eastAsia" w:ascii="黑体" w:eastAsia="黑体"/>
        <w:color w:val="000000"/>
        <w:sz w:val="21"/>
        <w:szCs w:val="21"/>
      </w:rPr>
      <w:t>/</w:t>
    </w:r>
    <w:r>
      <w:rPr>
        <w:rFonts w:hint="eastAsia" w:eastAsia="黑体"/>
        <w:b/>
        <w:color w:val="000000"/>
        <w:sz w:val="21"/>
        <w:szCs w:val="21"/>
      </w:rPr>
      <w:t>BJCSA</w:t>
    </w:r>
    <w:r>
      <w:rPr>
        <w:rFonts w:hint="eastAsia" w:ascii="黑体" w:eastAsia="黑体"/>
        <w:color w:val="000000"/>
        <w:sz w:val="21"/>
        <w:szCs w:val="21"/>
      </w:rPr>
      <w:t xml:space="preserve"> 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spacing w:before="850"/>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p>
    <w:pPr>
      <w:pStyle w:val="18"/>
      <w:pBdr>
        <w:bottom w:val="none" w:color="auto" w:sz="0" w:space="1"/>
      </w:pBdr>
      <w:ind w:left="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32323"/>
    <w:multiLevelType w:val="singleLevel"/>
    <w:tmpl w:val="8BD32323"/>
    <w:lvl w:ilvl="0" w:tentative="0">
      <w:start w:val="1"/>
      <w:numFmt w:val="lowerLetter"/>
      <w:suff w:val="space"/>
      <w:lvlText w:val="%1)"/>
      <w:lvlJc w:val="left"/>
    </w:lvl>
  </w:abstractNum>
  <w:abstractNum w:abstractNumId="1">
    <w:nsid w:val="D087079A"/>
    <w:multiLevelType w:val="singleLevel"/>
    <w:tmpl w:val="D087079A"/>
    <w:lvl w:ilvl="0" w:tentative="0">
      <w:start w:val="1"/>
      <w:numFmt w:val="decimal"/>
      <w:suff w:val="space"/>
      <w:lvlText w:val="%1)"/>
      <w:lvlJc w:val="left"/>
    </w:lvl>
  </w:abstractNum>
  <w:abstractNum w:abstractNumId="2">
    <w:nsid w:val="131B5613"/>
    <w:multiLevelType w:val="singleLevel"/>
    <w:tmpl w:val="131B5613"/>
    <w:lvl w:ilvl="0" w:tentative="0">
      <w:start w:val="1"/>
      <w:numFmt w:val="lowerLetter"/>
      <w:suff w:val="space"/>
      <w:lvlText w:val="%1)"/>
      <w:lvlJc w:val="left"/>
    </w:lvl>
  </w:abstractNum>
  <w:abstractNum w:abstractNumId="3">
    <w:nsid w:val="3D3AD1D1"/>
    <w:multiLevelType w:val="multilevel"/>
    <w:tmpl w:val="3D3AD1D1"/>
    <w:lvl w:ilvl="0" w:tentative="0">
      <w:start w:val="1"/>
      <w:numFmt w:val="decimal"/>
      <w:pStyle w:val="2"/>
      <w:lvlText w:val="%1."/>
      <w:lvlJc w:val="left"/>
      <w:pPr>
        <w:ind w:left="432" w:hanging="432"/>
      </w:pPr>
      <w:rPr>
        <w:rFonts w:hint="default" w:ascii="黑体" w:hAnsi="黑体" w:eastAsia="宋体" w:cs="宋体"/>
        <w:sz w:val="21"/>
      </w:rPr>
    </w:lvl>
    <w:lvl w:ilvl="1" w:tentative="0">
      <w:start w:val="1"/>
      <w:numFmt w:val="decimal"/>
      <w:pStyle w:val="3"/>
      <w:suff w:val="space"/>
      <w:lvlText w:val="%1.%2"/>
      <w:lvlJc w:val="left"/>
      <w:pPr>
        <w:tabs>
          <w:tab w:val="left" w:pos="420"/>
        </w:tabs>
        <w:ind w:left="575" w:hanging="575"/>
      </w:pPr>
      <w:rPr>
        <w:rFonts w:hint="default" w:ascii="黑体" w:hAnsi="黑体" w:eastAsia="宋体" w:cs="宋体"/>
        <w:sz w:val="21"/>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6CEA2025"/>
    <w:multiLevelType w:val="multilevel"/>
    <w:tmpl w:val="6CEA2025"/>
    <w:lvl w:ilvl="0" w:tentative="0">
      <w:start w:val="1"/>
      <w:numFmt w:val="none"/>
      <w:pStyle w:val="3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3"/>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5355"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1"/>
    <w:rsid w:val="000161F5"/>
    <w:rsid w:val="00022807"/>
    <w:rsid w:val="00024F5E"/>
    <w:rsid w:val="000250DD"/>
    <w:rsid w:val="00025C2B"/>
    <w:rsid w:val="00032976"/>
    <w:rsid w:val="000422E9"/>
    <w:rsid w:val="00046771"/>
    <w:rsid w:val="000471C7"/>
    <w:rsid w:val="0005394C"/>
    <w:rsid w:val="00060CE9"/>
    <w:rsid w:val="000717F0"/>
    <w:rsid w:val="00080FD8"/>
    <w:rsid w:val="00096B88"/>
    <w:rsid w:val="000A417D"/>
    <w:rsid w:val="000A57D6"/>
    <w:rsid w:val="000B5EF5"/>
    <w:rsid w:val="000C0008"/>
    <w:rsid w:val="000C4BC0"/>
    <w:rsid w:val="000C4F83"/>
    <w:rsid w:val="000D2609"/>
    <w:rsid w:val="000E4D05"/>
    <w:rsid w:val="0011358E"/>
    <w:rsid w:val="00117B74"/>
    <w:rsid w:val="00123553"/>
    <w:rsid w:val="00123BD5"/>
    <w:rsid w:val="00125DA4"/>
    <w:rsid w:val="001355B6"/>
    <w:rsid w:val="001411CA"/>
    <w:rsid w:val="00150EC7"/>
    <w:rsid w:val="00151ED6"/>
    <w:rsid w:val="00156DF2"/>
    <w:rsid w:val="0017178E"/>
    <w:rsid w:val="00172BBD"/>
    <w:rsid w:val="00181235"/>
    <w:rsid w:val="00191CD1"/>
    <w:rsid w:val="00192DDA"/>
    <w:rsid w:val="00195123"/>
    <w:rsid w:val="001A2021"/>
    <w:rsid w:val="001A586D"/>
    <w:rsid w:val="001A6803"/>
    <w:rsid w:val="001C12AD"/>
    <w:rsid w:val="001C1CC4"/>
    <w:rsid w:val="001C2ACD"/>
    <w:rsid w:val="001D21E5"/>
    <w:rsid w:val="001D7A2B"/>
    <w:rsid w:val="001E0AAA"/>
    <w:rsid w:val="001E5BD0"/>
    <w:rsid w:val="001F18AA"/>
    <w:rsid w:val="00201986"/>
    <w:rsid w:val="002211EC"/>
    <w:rsid w:val="00235803"/>
    <w:rsid w:val="00242E01"/>
    <w:rsid w:val="00243E31"/>
    <w:rsid w:val="002500C3"/>
    <w:rsid w:val="00271FE3"/>
    <w:rsid w:val="00272042"/>
    <w:rsid w:val="0027265C"/>
    <w:rsid w:val="0027362A"/>
    <w:rsid w:val="002949A4"/>
    <w:rsid w:val="002970B8"/>
    <w:rsid w:val="002B167B"/>
    <w:rsid w:val="002B16A7"/>
    <w:rsid w:val="002B18B7"/>
    <w:rsid w:val="002D0D30"/>
    <w:rsid w:val="002D0D4B"/>
    <w:rsid w:val="002D4D41"/>
    <w:rsid w:val="002D507F"/>
    <w:rsid w:val="002D5383"/>
    <w:rsid w:val="002D5CB2"/>
    <w:rsid w:val="002E610A"/>
    <w:rsid w:val="002E7F8D"/>
    <w:rsid w:val="00301053"/>
    <w:rsid w:val="0030193F"/>
    <w:rsid w:val="003076A9"/>
    <w:rsid w:val="00321345"/>
    <w:rsid w:val="003346D0"/>
    <w:rsid w:val="003445D6"/>
    <w:rsid w:val="00354BC4"/>
    <w:rsid w:val="00366C59"/>
    <w:rsid w:val="0037417B"/>
    <w:rsid w:val="00385295"/>
    <w:rsid w:val="00390C7A"/>
    <w:rsid w:val="003A56B4"/>
    <w:rsid w:val="003A64B3"/>
    <w:rsid w:val="003B3330"/>
    <w:rsid w:val="003C29E3"/>
    <w:rsid w:val="003C612B"/>
    <w:rsid w:val="003D1254"/>
    <w:rsid w:val="003D481E"/>
    <w:rsid w:val="003E0BD9"/>
    <w:rsid w:val="003E3783"/>
    <w:rsid w:val="003E6D51"/>
    <w:rsid w:val="0040453D"/>
    <w:rsid w:val="00416BA5"/>
    <w:rsid w:val="004174F4"/>
    <w:rsid w:val="00425B6C"/>
    <w:rsid w:val="004304DB"/>
    <w:rsid w:val="0044166C"/>
    <w:rsid w:val="004445D3"/>
    <w:rsid w:val="00444EBF"/>
    <w:rsid w:val="00495A31"/>
    <w:rsid w:val="004A290C"/>
    <w:rsid w:val="004B2203"/>
    <w:rsid w:val="004C52F7"/>
    <w:rsid w:val="004C6EDB"/>
    <w:rsid w:val="004E60F0"/>
    <w:rsid w:val="004F3AC9"/>
    <w:rsid w:val="004F4B06"/>
    <w:rsid w:val="00512F73"/>
    <w:rsid w:val="005276AE"/>
    <w:rsid w:val="005303FB"/>
    <w:rsid w:val="005328C0"/>
    <w:rsid w:val="0058318C"/>
    <w:rsid w:val="005A58DE"/>
    <w:rsid w:val="005A5FCC"/>
    <w:rsid w:val="005B45F8"/>
    <w:rsid w:val="005D3E6B"/>
    <w:rsid w:val="005D5870"/>
    <w:rsid w:val="005F0AEE"/>
    <w:rsid w:val="005F1146"/>
    <w:rsid w:val="00633258"/>
    <w:rsid w:val="0066759F"/>
    <w:rsid w:val="00671AE4"/>
    <w:rsid w:val="00687717"/>
    <w:rsid w:val="00687E0E"/>
    <w:rsid w:val="00693E94"/>
    <w:rsid w:val="006950E8"/>
    <w:rsid w:val="006A6DA2"/>
    <w:rsid w:val="006B2942"/>
    <w:rsid w:val="006C225D"/>
    <w:rsid w:val="006C5013"/>
    <w:rsid w:val="006C661E"/>
    <w:rsid w:val="006E16CC"/>
    <w:rsid w:val="006E79CC"/>
    <w:rsid w:val="006F17CC"/>
    <w:rsid w:val="006F40D1"/>
    <w:rsid w:val="006F75F1"/>
    <w:rsid w:val="0071014E"/>
    <w:rsid w:val="00711D76"/>
    <w:rsid w:val="00714EEB"/>
    <w:rsid w:val="00716244"/>
    <w:rsid w:val="007227C7"/>
    <w:rsid w:val="00730BC5"/>
    <w:rsid w:val="00743739"/>
    <w:rsid w:val="00745EAD"/>
    <w:rsid w:val="00751797"/>
    <w:rsid w:val="00765C78"/>
    <w:rsid w:val="00770C73"/>
    <w:rsid w:val="00797B93"/>
    <w:rsid w:val="007B0A8C"/>
    <w:rsid w:val="007D1FD6"/>
    <w:rsid w:val="00802149"/>
    <w:rsid w:val="00802B71"/>
    <w:rsid w:val="008037E0"/>
    <w:rsid w:val="008070E7"/>
    <w:rsid w:val="008341C3"/>
    <w:rsid w:val="00837101"/>
    <w:rsid w:val="00842B94"/>
    <w:rsid w:val="00845EA7"/>
    <w:rsid w:val="00854906"/>
    <w:rsid w:val="00855592"/>
    <w:rsid w:val="00871D38"/>
    <w:rsid w:val="00873E80"/>
    <w:rsid w:val="00875A3A"/>
    <w:rsid w:val="00876A85"/>
    <w:rsid w:val="008774DD"/>
    <w:rsid w:val="00881B84"/>
    <w:rsid w:val="00885C3A"/>
    <w:rsid w:val="008869CA"/>
    <w:rsid w:val="0088746C"/>
    <w:rsid w:val="00887A3E"/>
    <w:rsid w:val="00897525"/>
    <w:rsid w:val="008A12E4"/>
    <w:rsid w:val="008A5BF9"/>
    <w:rsid w:val="008B15E8"/>
    <w:rsid w:val="008C37E0"/>
    <w:rsid w:val="008E0AB1"/>
    <w:rsid w:val="008F36B6"/>
    <w:rsid w:val="00904018"/>
    <w:rsid w:val="00910636"/>
    <w:rsid w:val="00924EC4"/>
    <w:rsid w:val="00926CCC"/>
    <w:rsid w:val="0095187F"/>
    <w:rsid w:val="00951B9C"/>
    <w:rsid w:val="00955F34"/>
    <w:rsid w:val="009620C5"/>
    <w:rsid w:val="00972342"/>
    <w:rsid w:val="00975B0A"/>
    <w:rsid w:val="009B5DC4"/>
    <w:rsid w:val="009C1356"/>
    <w:rsid w:val="009C1CE5"/>
    <w:rsid w:val="009C6EC3"/>
    <w:rsid w:val="009C7090"/>
    <w:rsid w:val="009E0CFC"/>
    <w:rsid w:val="009E1C06"/>
    <w:rsid w:val="00A03205"/>
    <w:rsid w:val="00A0324F"/>
    <w:rsid w:val="00A13EEF"/>
    <w:rsid w:val="00A17038"/>
    <w:rsid w:val="00A176DE"/>
    <w:rsid w:val="00A26D07"/>
    <w:rsid w:val="00A32E12"/>
    <w:rsid w:val="00A43885"/>
    <w:rsid w:val="00A4642D"/>
    <w:rsid w:val="00A47B5E"/>
    <w:rsid w:val="00A53A2F"/>
    <w:rsid w:val="00A54BA0"/>
    <w:rsid w:val="00A57C3A"/>
    <w:rsid w:val="00A61CF6"/>
    <w:rsid w:val="00A630DA"/>
    <w:rsid w:val="00A76B78"/>
    <w:rsid w:val="00A85767"/>
    <w:rsid w:val="00A9141E"/>
    <w:rsid w:val="00A91DBC"/>
    <w:rsid w:val="00A94A0E"/>
    <w:rsid w:val="00AA2E30"/>
    <w:rsid w:val="00AA710A"/>
    <w:rsid w:val="00AC0AAE"/>
    <w:rsid w:val="00AC2246"/>
    <w:rsid w:val="00AD1389"/>
    <w:rsid w:val="00AD4DC7"/>
    <w:rsid w:val="00AE58F3"/>
    <w:rsid w:val="00AF02A6"/>
    <w:rsid w:val="00AF267E"/>
    <w:rsid w:val="00AF4CC5"/>
    <w:rsid w:val="00B00DE3"/>
    <w:rsid w:val="00B07AC5"/>
    <w:rsid w:val="00B12ABA"/>
    <w:rsid w:val="00B16203"/>
    <w:rsid w:val="00B31CAB"/>
    <w:rsid w:val="00B32D51"/>
    <w:rsid w:val="00B34E87"/>
    <w:rsid w:val="00B40A85"/>
    <w:rsid w:val="00B41114"/>
    <w:rsid w:val="00B42B82"/>
    <w:rsid w:val="00B50D03"/>
    <w:rsid w:val="00B521DB"/>
    <w:rsid w:val="00B53B20"/>
    <w:rsid w:val="00B6263E"/>
    <w:rsid w:val="00B640B5"/>
    <w:rsid w:val="00B72242"/>
    <w:rsid w:val="00B7558C"/>
    <w:rsid w:val="00B75C45"/>
    <w:rsid w:val="00B81DD9"/>
    <w:rsid w:val="00B854B0"/>
    <w:rsid w:val="00B85885"/>
    <w:rsid w:val="00B8671F"/>
    <w:rsid w:val="00B9675A"/>
    <w:rsid w:val="00BA2F2A"/>
    <w:rsid w:val="00BA577F"/>
    <w:rsid w:val="00BA5B21"/>
    <w:rsid w:val="00BB03C5"/>
    <w:rsid w:val="00BB0FEF"/>
    <w:rsid w:val="00BB3DA5"/>
    <w:rsid w:val="00BB75E9"/>
    <w:rsid w:val="00BC1168"/>
    <w:rsid w:val="00BC1FA9"/>
    <w:rsid w:val="00BC29FD"/>
    <w:rsid w:val="00BC3B1F"/>
    <w:rsid w:val="00BE1991"/>
    <w:rsid w:val="00BE7A9E"/>
    <w:rsid w:val="00C228B1"/>
    <w:rsid w:val="00C2518E"/>
    <w:rsid w:val="00C32AE1"/>
    <w:rsid w:val="00C352D2"/>
    <w:rsid w:val="00C41CCC"/>
    <w:rsid w:val="00C459BB"/>
    <w:rsid w:val="00C57241"/>
    <w:rsid w:val="00C6684F"/>
    <w:rsid w:val="00C700BC"/>
    <w:rsid w:val="00C70C32"/>
    <w:rsid w:val="00C71A7B"/>
    <w:rsid w:val="00C75ABD"/>
    <w:rsid w:val="00C76F01"/>
    <w:rsid w:val="00C86DB8"/>
    <w:rsid w:val="00C92166"/>
    <w:rsid w:val="00CA5119"/>
    <w:rsid w:val="00CB162C"/>
    <w:rsid w:val="00CB39BA"/>
    <w:rsid w:val="00CB7295"/>
    <w:rsid w:val="00CC2354"/>
    <w:rsid w:val="00CC23B4"/>
    <w:rsid w:val="00CD0C58"/>
    <w:rsid w:val="00CD6218"/>
    <w:rsid w:val="00CE2CF9"/>
    <w:rsid w:val="00CE3120"/>
    <w:rsid w:val="00CE7D8F"/>
    <w:rsid w:val="00CF2DF6"/>
    <w:rsid w:val="00CF6477"/>
    <w:rsid w:val="00D075F6"/>
    <w:rsid w:val="00D16C0C"/>
    <w:rsid w:val="00D20474"/>
    <w:rsid w:val="00D26724"/>
    <w:rsid w:val="00D32607"/>
    <w:rsid w:val="00D349EA"/>
    <w:rsid w:val="00D41C16"/>
    <w:rsid w:val="00D420E5"/>
    <w:rsid w:val="00D51C20"/>
    <w:rsid w:val="00D620ED"/>
    <w:rsid w:val="00D650BE"/>
    <w:rsid w:val="00D70E7C"/>
    <w:rsid w:val="00D86E17"/>
    <w:rsid w:val="00D9083D"/>
    <w:rsid w:val="00D93542"/>
    <w:rsid w:val="00D93D20"/>
    <w:rsid w:val="00D94B88"/>
    <w:rsid w:val="00DA2BB4"/>
    <w:rsid w:val="00DA58D2"/>
    <w:rsid w:val="00DA6B57"/>
    <w:rsid w:val="00DB465D"/>
    <w:rsid w:val="00DC049A"/>
    <w:rsid w:val="00DC3200"/>
    <w:rsid w:val="00DC5210"/>
    <w:rsid w:val="00DD3841"/>
    <w:rsid w:val="00DD5B40"/>
    <w:rsid w:val="00DE0616"/>
    <w:rsid w:val="00DF267B"/>
    <w:rsid w:val="00DF335A"/>
    <w:rsid w:val="00DF3AA1"/>
    <w:rsid w:val="00DF41BE"/>
    <w:rsid w:val="00E104D1"/>
    <w:rsid w:val="00E30083"/>
    <w:rsid w:val="00E33D6F"/>
    <w:rsid w:val="00E4323A"/>
    <w:rsid w:val="00E52729"/>
    <w:rsid w:val="00E53DF9"/>
    <w:rsid w:val="00E7520B"/>
    <w:rsid w:val="00E93F49"/>
    <w:rsid w:val="00E967A4"/>
    <w:rsid w:val="00EA47E4"/>
    <w:rsid w:val="00EA6271"/>
    <w:rsid w:val="00EB2F2C"/>
    <w:rsid w:val="00EB5E82"/>
    <w:rsid w:val="00EC4543"/>
    <w:rsid w:val="00ED257A"/>
    <w:rsid w:val="00ED74C5"/>
    <w:rsid w:val="00EE5A76"/>
    <w:rsid w:val="00F02606"/>
    <w:rsid w:val="00F274D0"/>
    <w:rsid w:val="00F30614"/>
    <w:rsid w:val="00F418E0"/>
    <w:rsid w:val="00F573A3"/>
    <w:rsid w:val="00F71773"/>
    <w:rsid w:val="00F80D3B"/>
    <w:rsid w:val="00F826DB"/>
    <w:rsid w:val="00F9495C"/>
    <w:rsid w:val="00FA036D"/>
    <w:rsid w:val="00FA774A"/>
    <w:rsid w:val="00FB6419"/>
    <w:rsid w:val="00FD1330"/>
    <w:rsid w:val="00FE5065"/>
    <w:rsid w:val="00FF7DB3"/>
    <w:rsid w:val="011B5618"/>
    <w:rsid w:val="013E3047"/>
    <w:rsid w:val="01582982"/>
    <w:rsid w:val="017B25AD"/>
    <w:rsid w:val="018335F9"/>
    <w:rsid w:val="0189762D"/>
    <w:rsid w:val="01C37C79"/>
    <w:rsid w:val="01D041AC"/>
    <w:rsid w:val="01D84F14"/>
    <w:rsid w:val="021B3667"/>
    <w:rsid w:val="02535296"/>
    <w:rsid w:val="02DA0098"/>
    <w:rsid w:val="031A1BDA"/>
    <w:rsid w:val="032E3881"/>
    <w:rsid w:val="03401897"/>
    <w:rsid w:val="040236FC"/>
    <w:rsid w:val="040713F4"/>
    <w:rsid w:val="040918ED"/>
    <w:rsid w:val="041037BB"/>
    <w:rsid w:val="042F268D"/>
    <w:rsid w:val="04330849"/>
    <w:rsid w:val="04601AAD"/>
    <w:rsid w:val="04870696"/>
    <w:rsid w:val="048C342D"/>
    <w:rsid w:val="04D61A25"/>
    <w:rsid w:val="050054D7"/>
    <w:rsid w:val="051A51B8"/>
    <w:rsid w:val="0528300F"/>
    <w:rsid w:val="055B028B"/>
    <w:rsid w:val="05646425"/>
    <w:rsid w:val="056F349A"/>
    <w:rsid w:val="059E6F68"/>
    <w:rsid w:val="05A200E6"/>
    <w:rsid w:val="05C5535F"/>
    <w:rsid w:val="05D4380B"/>
    <w:rsid w:val="05D901B8"/>
    <w:rsid w:val="061B5205"/>
    <w:rsid w:val="061E6545"/>
    <w:rsid w:val="06266AEA"/>
    <w:rsid w:val="062C46D6"/>
    <w:rsid w:val="063A378B"/>
    <w:rsid w:val="0650515A"/>
    <w:rsid w:val="069F0B85"/>
    <w:rsid w:val="06E3321C"/>
    <w:rsid w:val="06EC4FDC"/>
    <w:rsid w:val="06F82013"/>
    <w:rsid w:val="07015357"/>
    <w:rsid w:val="0732598B"/>
    <w:rsid w:val="07460CC0"/>
    <w:rsid w:val="074E109E"/>
    <w:rsid w:val="075C3808"/>
    <w:rsid w:val="07970216"/>
    <w:rsid w:val="080034E5"/>
    <w:rsid w:val="08180BAE"/>
    <w:rsid w:val="087E3A7F"/>
    <w:rsid w:val="089418FB"/>
    <w:rsid w:val="08A31519"/>
    <w:rsid w:val="08E970D3"/>
    <w:rsid w:val="08FA7783"/>
    <w:rsid w:val="09294C2B"/>
    <w:rsid w:val="092B7394"/>
    <w:rsid w:val="09361E68"/>
    <w:rsid w:val="095453CD"/>
    <w:rsid w:val="09550E40"/>
    <w:rsid w:val="09571FF9"/>
    <w:rsid w:val="09622C8A"/>
    <w:rsid w:val="09731575"/>
    <w:rsid w:val="09840B7B"/>
    <w:rsid w:val="098A3A8E"/>
    <w:rsid w:val="09983753"/>
    <w:rsid w:val="09B0232B"/>
    <w:rsid w:val="09DA5410"/>
    <w:rsid w:val="09DE4F61"/>
    <w:rsid w:val="09FF7B71"/>
    <w:rsid w:val="0A0C0B19"/>
    <w:rsid w:val="0A1C20B5"/>
    <w:rsid w:val="0A4B1887"/>
    <w:rsid w:val="0A5F13F2"/>
    <w:rsid w:val="0A630586"/>
    <w:rsid w:val="0AA96A32"/>
    <w:rsid w:val="0AB8123A"/>
    <w:rsid w:val="0AC75E3A"/>
    <w:rsid w:val="0AE727E9"/>
    <w:rsid w:val="0AEA4896"/>
    <w:rsid w:val="0B0A6214"/>
    <w:rsid w:val="0B180C7A"/>
    <w:rsid w:val="0B1B4E9F"/>
    <w:rsid w:val="0B1E3A5F"/>
    <w:rsid w:val="0B330156"/>
    <w:rsid w:val="0B3827FE"/>
    <w:rsid w:val="0B390427"/>
    <w:rsid w:val="0B575693"/>
    <w:rsid w:val="0B920C90"/>
    <w:rsid w:val="0C240003"/>
    <w:rsid w:val="0C433405"/>
    <w:rsid w:val="0C7E5230"/>
    <w:rsid w:val="0C901F11"/>
    <w:rsid w:val="0C915A84"/>
    <w:rsid w:val="0CDA6CAE"/>
    <w:rsid w:val="0CDB3EBA"/>
    <w:rsid w:val="0CF203B4"/>
    <w:rsid w:val="0D382FED"/>
    <w:rsid w:val="0D4F4874"/>
    <w:rsid w:val="0D603096"/>
    <w:rsid w:val="0D756245"/>
    <w:rsid w:val="0DBF1A0F"/>
    <w:rsid w:val="0E416504"/>
    <w:rsid w:val="0E431068"/>
    <w:rsid w:val="0E806515"/>
    <w:rsid w:val="0E830913"/>
    <w:rsid w:val="0E885F31"/>
    <w:rsid w:val="0E9405BD"/>
    <w:rsid w:val="0EB632A3"/>
    <w:rsid w:val="0ED6636C"/>
    <w:rsid w:val="0EE41333"/>
    <w:rsid w:val="0EF45BBA"/>
    <w:rsid w:val="0EFB4EFF"/>
    <w:rsid w:val="0EFF7B75"/>
    <w:rsid w:val="0F48662B"/>
    <w:rsid w:val="0F5E7566"/>
    <w:rsid w:val="0FB0647D"/>
    <w:rsid w:val="0FD430A9"/>
    <w:rsid w:val="10281BEF"/>
    <w:rsid w:val="102C0D9B"/>
    <w:rsid w:val="10747573"/>
    <w:rsid w:val="10946632"/>
    <w:rsid w:val="10983771"/>
    <w:rsid w:val="10AC1914"/>
    <w:rsid w:val="10BD3078"/>
    <w:rsid w:val="10C24D66"/>
    <w:rsid w:val="10C34CA8"/>
    <w:rsid w:val="10CE5D41"/>
    <w:rsid w:val="10D035C1"/>
    <w:rsid w:val="1131073F"/>
    <w:rsid w:val="114A7B27"/>
    <w:rsid w:val="115D0BD1"/>
    <w:rsid w:val="11852FC8"/>
    <w:rsid w:val="11890361"/>
    <w:rsid w:val="121E232E"/>
    <w:rsid w:val="126B0108"/>
    <w:rsid w:val="126F05AC"/>
    <w:rsid w:val="127769C7"/>
    <w:rsid w:val="1280154D"/>
    <w:rsid w:val="129312AA"/>
    <w:rsid w:val="1298325D"/>
    <w:rsid w:val="12D40D6F"/>
    <w:rsid w:val="12EA7CAB"/>
    <w:rsid w:val="13006955"/>
    <w:rsid w:val="13133E84"/>
    <w:rsid w:val="13536B13"/>
    <w:rsid w:val="137210E7"/>
    <w:rsid w:val="138D06C1"/>
    <w:rsid w:val="13D01E62"/>
    <w:rsid w:val="13D41300"/>
    <w:rsid w:val="140E0AD7"/>
    <w:rsid w:val="14322CA6"/>
    <w:rsid w:val="14401B9A"/>
    <w:rsid w:val="14465986"/>
    <w:rsid w:val="147957C1"/>
    <w:rsid w:val="149E5706"/>
    <w:rsid w:val="14A2711D"/>
    <w:rsid w:val="14B87A76"/>
    <w:rsid w:val="14BC001C"/>
    <w:rsid w:val="14D33836"/>
    <w:rsid w:val="14D353A5"/>
    <w:rsid w:val="15055AFE"/>
    <w:rsid w:val="15113EE2"/>
    <w:rsid w:val="15442DD3"/>
    <w:rsid w:val="154D0AD4"/>
    <w:rsid w:val="156C736A"/>
    <w:rsid w:val="15814549"/>
    <w:rsid w:val="15832794"/>
    <w:rsid w:val="158358BB"/>
    <w:rsid w:val="15937A3B"/>
    <w:rsid w:val="15AC2574"/>
    <w:rsid w:val="15B75392"/>
    <w:rsid w:val="15C104DA"/>
    <w:rsid w:val="15C251DC"/>
    <w:rsid w:val="15E53514"/>
    <w:rsid w:val="16005BF2"/>
    <w:rsid w:val="161640E5"/>
    <w:rsid w:val="16386774"/>
    <w:rsid w:val="169D4E1F"/>
    <w:rsid w:val="16A728FC"/>
    <w:rsid w:val="170873BF"/>
    <w:rsid w:val="17204DCC"/>
    <w:rsid w:val="173742CB"/>
    <w:rsid w:val="181B6BB4"/>
    <w:rsid w:val="18653D24"/>
    <w:rsid w:val="1885062E"/>
    <w:rsid w:val="188B09E3"/>
    <w:rsid w:val="188D5E57"/>
    <w:rsid w:val="189805C4"/>
    <w:rsid w:val="19494EF6"/>
    <w:rsid w:val="19752C46"/>
    <w:rsid w:val="197F0233"/>
    <w:rsid w:val="19811ADA"/>
    <w:rsid w:val="19875E05"/>
    <w:rsid w:val="19B1362A"/>
    <w:rsid w:val="19CF7D97"/>
    <w:rsid w:val="19F075BE"/>
    <w:rsid w:val="1A093C78"/>
    <w:rsid w:val="1AA02DFF"/>
    <w:rsid w:val="1AB94BD0"/>
    <w:rsid w:val="1AD3552F"/>
    <w:rsid w:val="1AD35FD9"/>
    <w:rsid w:val="1ADC56EB"/>
    <w:rsid w:val="1B1A257C"/>
    <w:rsid w:val="1B2534B9"/>
    <w:rsid w:val="1B423FAF"/>
    <w:rsid w:val="1B4D2172"/>
    <w:rsid w:val="1B503F98"/>
    <w:rsid w:val="1B823C34"/>
    <w:rsid w:val="1B826FFA"/>
    <w:rsid w:val="1B877CCD"/>
    <w:rsid w:val="1B8B4A78"/>
    <w:rsid w:val="1BE016BB"/>
    <w:rsid w:val="1BE70618"/>
    <w:rsid w:val="1C0876C1"/>
    <w:rsid w:val="1C0D7E65"/>
    <w:rsid w:val="1C2C33AF"/>
    <w:rsid w:val="1C2F34CF"/>
    <w:rsid w:val="1C6E6C49"/>
    <w:rsid w:val="1C715222"/>
    <w:rsid w:val="1CB3762C"/>
    <w:rsid w:val="1CC61A56"/>
    <w:rsid w:val="1CD65CAC"/>
    <w:rsid w:val="1CEC153B"/>
    <w:rsid w:val="1CF81C0A"/>
    <w:rsid w:val="1CFC5D86"/>
    <w:rsid w:val="1D20197D"/>
    <w:rsid w:val="1D660B43"/>
    <w:rsid w:val="1D9A742C"/>
    <w:rsid w:val="1DAB2401"/>
    <w:rsid w:val="1DBE179F"/>
    <w:rsid w:val="1DE15B9B"/>
    <w:rsid w:val="1E1260A9"/>
    <w:rsid w:val="1E2D0286"/>
    <w:rsid w:val="1E3259D6"/>
    <w:rsid w:val="1E5135A1"/>
    <w:rsid w:val="1E6C5713"/>
    <w:rsid w:val="1E79477C"/>
    <w:rsid w:val="1EC70685"/>
    <w:rsid w:val="1EC8688D"/>
    <w:rsid w:val="1EC95EC4"/>
    <w:rsid w:val="1ED06997"/>
    <w:rsid w:val="1EE10062"/>
    <w:rsid w:val="1EEC7E64"/>
    <w:rsid w:val="1F084D3F"/>
    <w:rsid w:val="1F091F36"/>
    <w:rsid w:val="1F0B59C8"/>
    <w:rsid w:val="1F226D30"/>
    <w:rsid w:val="1F4A66B9"/>
    <w:rsid w:val="1F4E73E5"/>
    <w:rsid w:val="1F537E42"/>
    <w:rsid w:val="1F5E002B"/>
    <w:rsid w:val="1F607869"/>
    <w:rsid w:val="1F6F620D"/>
    <w:rsid w:val="1F916DA4"/>
    <w:rsid w:val="200355B9"/>
    <w:rsid w:val="201B4323"/>
    <w:rsid w:val="20210D51"/>
    <w:rsid w:val="20262F1B"/>
    <w:rsid w:val="202D75A9"/>
    <w:rsid w:val="20391415"/>
    <w:rsid w:val="203C439A"/>
    <w:rsid w:val="205254DF"/>
    <w:rsid w:val="20B24E8E"/>
    <w:rsid w:val="20C95244"/>
    <w:rsid w:val="20DC7CCA"/>
    <w:rsid w:val="20F56A44"/>
    <w:rsid w:val="211F7041"/>
    <w:rsid w:val="213248B9"/>
    <w:rsid w:val="21483461"/>
    <w:rsid w:val="216E5BB3"/>
    <w:rsid w:val="2182475D"/>
    <w:rsid w:val="21A331FD"/>
    <w:rsid w:val="21A91B0F"/>
    <w:rsid w:val="21BF6A73"/>
    <w:rsid w:val="21D5093A"/>
    <w:rsid w:val="21F11C45"/>
    <w:rsid w:val="21F41855"/>
    <w:rsid w:val="21F73D48"/>
    <w:rsid w:val="222040A9"/>
    <w:rsid w:val="2243442F"/>
    <w:rsid w:val="22522A2E"/>
    <w:rsid w:val="228A5501"/>
    <w:rsid w:val="22A916B0"/>
    <w:rsid w:val="22AB1D51"/>
    <w:rsid w:val="22B81D72"/>
    <w:rsid w:val="22E03CAA"/>
    <w:rsid w:val="22FB4283"/>
    <w:rsid w:val="233B11A7"/>
    <w:rsid w:val="23550377"/>
    <w:rsid w:val="236A3007"/>
    <w:rsid w:val="2397109F"/>
    <w:rsid w:val="239813E9"/>
    <w:rsid w:val="23B65610"/>
    <w:rsid w:val="23C571DE"/>
    <w:rsid w:val="23D11095"/>
    <w:rsid w:val="23F55100"/>
    <w:rsid w:val="24030E99"/>
    <w:rsid w:val="241C71A0"/>
    <w:rsid w:val="24275020"/>
    <w:rsid w:val="24277EB1"/>
    <w:rsid w:val="24330704"/>
    <w:rsid w:val="244C7AA6"/>
    <w:rsid w:val="24B21DDC"/>
    <w:rsid w:val="24B7392D"/>
    <w:rsid w:val="24CA6B79"/>
    <w:rsid w:val="24CC4370"/>
    <w:rsid w:val="24E71F07"/>
    <w:rsid w:val="24FB1AE5"/>
    <w:rsid w:val="250F2EFF"/>
    <w:rsid w:val="2521056A"/>
    <w:rsid w:val="252B4DBF"/>
    <w:rsid w:val="2536704D"/>
    <w:rsid w:val="254C207C"/>
    <w:rsid w:val="25864C85"/>
    <w:rsid w:val="25D617C0"/>
    <w:rsid w:val="25DC7BF4"/>
    <w:rsid w:val="25F337D6"/>
    <w:rsid w:val="25F95DDF"/>
    <w:rsid w:val="261631EE"/>
    <w:rsid w:val="263C4344"/>
    <w:rsid w:val="26534204"/>
    <w:rsid w:val="26707FE6"/>
    <w:rsid w:val="268D4216"/>
    <w:rsid w:val="268E557D"/>
    <w:rsid w:val="268E7372"/>
    <w:rsid w:val="26A06A71"/>
    <w:rsid w:val="26E86469"/>
    <w:rsid w:val="26FD5DEE"/>
    <w:rsid w:val="27165B5D"/>
    <w:rsid w:val="273505A7"/>
    <w:rsid w:val="2756682E"/>
    <w:rsid w:val="277778CF"/>
    <w:rsid w:val="278A238B"/>
    <w:rsid w:val="27A71D7F"/>
    <w:rsid w:val="27A72484"/>
    <w:rsid w:val="27B43406"/>
    <w:rsid w:val="27C53ADF"/>
    <w:rsid w:val="280333C4"/>
    <w:rsid w:val="280478D6"/>
    <w:rsid w:val="282E4925"/>
    <w:rsid w:val="284B481F"/>
    <w:rsid w:val="285C14C0"/>
    <w:rsid w:val="2874390B"/>
    <w:rsid w:val="28794D0C"/>
    <w:rsid w:val="28AE1E2A"/>
    <w:rsid w:val="28B119B2"/>
    <w:rsid w:val="28BD6808"/>
    <w:rsid w:val="28D4380D"/>
    <w:rsid w:val="28F65ED3"/>
    <w:rsid w:val="28F84549"/>
    <w:rsid w:val="290C23DF"/>
    <w:rsid w:val="290F4E34"/>
    <w:rsid w:val="2913137C"/>
    <w:rsid w:val="291E69B1"/>
    <w:rsid w:val="29263821"/>
    <w:rsid w:val="292F4878"/>
    <w:rsid w:val="29515627"/>
    <w:rsid w:val="296942BD"/>
    <w:rsid w:val="298F2204"/>
    <w:rsid w:val="29A62C82"/>
    <w:rsid w:val="29AD27EF"/>
    <w:rsid w:val="29BB3EB6"/>
    <w:rsid w:val="29CA2AEA"/>
    <w:rsid w:val="29EC23D0"/>
    <w:rsid w:val="29F42BDE"/>
    <w:rsid w:val="2A04441B"/>
    <w:rsid w:val="2A5925D5"/>
    <w:rsid w:val="2A632BA2"/>
    <w:rsid w:val="2A916CEB"/>
    <w:rsid w:val="2AD3559C"/>
    <w:rsid w:val="2B143A46"/>
    <w:rsid w:val="2B222C51"/>
    <w:rsid w:val="2B32775A"/>
    <w:rsid w:val="2B62442C"/>
    <w:rsid w:val="2B824E47"/>
    <w:rsid w:val="2B9476F7"/>
    <w:rsid w:val="2C2E23CE"/>
    <w:rsid w:val="2C84459A"/>
    <w:rsid w:val="2C8E72AF"/>
    <w:rsid w:val="2CA7552A"/>
    <w:rsid w:val="2CD46538"/>
    <w:rsid w:val="2CE162DB"/>
    <w:rsid w:val="2D15697E"/>
    <w:rsid w:val="2D274B27"/>
    <w:rsid w:val="2D660E8B"/>
    <w:rsid w:val="2D6B22BD"/>
    <w:rsid w:val="2D7518EC"/>
    <w:rsid w:val="2D8755B3"/>
    <w:rsid w:val="2D9E7E85"/>
    <w:rsid w:val="2DA30A50"/>
    <w:rsid w:val="2DAF4F6A"/>
    <w:rsid w:val="2DB42C49"/>
    <w:rsid w:val="2DBC1FA3"/>
    <w:rsid w:val="2DD669E8"/>
    <w:rsid w:val="2DD90EBD"/>
    <w:rsid w:val="2E0D584F"/>
    <w:rsid w:val="2E141109"/>
    <w:rsid w:val="2E15471E"/>
    <w:rsid w:val="2E226CB8"/>
    <w:rsid w:val="2E4239B6"/>
    <w:rsid w:val="2E566B49"/>
    <w:rsid w:val="2E992C99"/>
    <w:rsid w:val="2E9A6DAC"/>
    <w:rsid w:val="2ED33F71"/>
    <w:rsid w:val="2F031E58"/>
    <w:rsid w:val="2F183E60"/>
    <w:rsid w:val="2F1C7222"/>
    <w:rsid w:val="2F3362D8"/>
    <w:rsid w:val="2F757C08"/>
    <w:rsid w:val="2F836C9F"/>
    <w:rsid w:val="2FB57551"/>
    <w:rsid w:val="2FBF6222"/>
    <w:rsid w:val="2FEF60E9"/>
    <w:rsid w:val="302D521B"/>
    <w:rsid w:val="3034023F"/>
    <w:rsid w:val="30353558"/>
    <w:rsid w:val="3061131E"/>
    <w:rsid w:val="306E49CB"/>
    <w:rsid w:val="30904E49"/>
    <w:rsid w:val="30994A89"/>
    <w:rsid w:val="30A560DE"/>
    <w:rsid w:val="30B359F5"/>
    <w:rsid w:val="310E5679"/>
    <w:rsid w:val="31140B8A"/>
    <w:rsid w:val="31364329"/>
    <w:rsid w:val="31491CAD"/>
    <w:rsid w:val="317955BE"/>
    <w:rsid w:val="31981CFB"/>
    <w:rsid w:val="31A572CB"/>
    <w:rsid w:val="31B20D38"/>
    <w:rsid w:val="31C9207A"/>
    <w:rsid w:val="31D2410B"/>
    <w:rsid w:val="31D330C8"/>
    <w:rsid w:val="31DA4F72"/>
    <w:rsid w:val="32190D6B"/>
    <w:rsid w:val="32326346"/>
    <w:rsid w:val="32915F0A"/>
    <w:rsid w:val="32AE2C7B"/>
    <w:rsid w:val="32AF09B7"/>
    <w:rsid w:val="32E116A8"/>
    <w:rsid w:val="32ED1CDD"/>
    <w:rsid w:val="32F116B0"/>
    <w:rsid w:val="33764448"/>
    <w:rsid w:val="33843679"/>
    <w:rsid w:val="33A44BBE"/>
    <w:rsid w:val="33AD2741"/>
    <w:rsid w:val="33CE1F92"/>
    <w:rsid w:val="33DE010B"/>
    <w:rsid w:val="340106F2"/>
    <w:rsid w:val="3405501C"/>
    <w:rsid w:val="34101D9A"/>
    <w:rsid w:val="34446614"/>
    <w:rsid w:val="34980186"/>
    <w:rsid w:val="34A95230"/>
    <w:rsid w:val="34B568C7"/>
    <w:rsid w:val="3554278E"/>
    <w:rsid w:val="355B5620"/>
    <w:rsid w:val="357C1EAD"/>
    <w:rsid w:val="35BB122A"/>
    <w:rsid w:val="35C47AC9"/>
    <w:rsid w:val="35E834DF"/>
    <w:rsid w:val="36094388"/>
    <w:rsid w:val="366559E4"/>
    <w:rsid w:val="368D4277"/>
    <w:rsid w:val="36AB7900"/>
    <w:rsid w:val="36D059B8"/>
    <w:rsid w:val="36D230CA"/>
    <w:rsid w:val="36F41243"/>
    <w:rsid w:val="36F80324"/>
    <w:rsid w:val="370228F1"/>
    <w:rsid w:val="372F630E"/>
    <w:rsid w:val="3748081E"/>
    <w:rsid w:val="37682288"/>
    <w:rsid w:val="377876AB"/>
    <w:rsid w:val="37965B9A"/>
    <w:rsid w:val="37AF0259"/>
    <w:rsid w:val="37CB09F5"/>
    <w:rsid w:val="37E476E5"/>
    <w:rsid w:val="37F21B08"/>
    <w:rsid w:val="38083434"/>
    <w:rsid w:val="38094965"/>
    <w:rsid w:val="382507E6"/>
    <w:rsid w:val="382B44FC"/>
    <w:rsid w:val="3836449E"/>
    <w:rsid w:val="385901CB"/>
    <w:rsid w:val="388F58D7"/>
    <w:rsid w:val="38B31E74"/>
    <w:rsid w:val="38B6118D"/>
    <w:rsid w:val="39061763"/>
    <w:rsid w:val="395C55B9"/>
    <w:rsid w:val="396C0A1D"/>
    <w:rsid w:val="39DD5382"/>
    <w:rsid w:val="39DF7363"/>
    <w:rsid w:val="39FF375F"/>
    <w:rsid w:val="3A0A20F2"/>
    <w:rsid w:val="3A13762D"/>
    <w:rsid w:val="3A144088"/>
    <w:rsid w:val="3A291832"/>
    <w:rsid w:val="3A7039DB"/>
    <w:rsid w:val="3A8E0F1D"/>
    <w:rsid w:val="3A9C4811"/>
    <w:rsid w:val="3AAF7509"/>
    <w:rsid w:val="3AB40624"/>
    <w:rsid w:val="3AB9278E"/>
    <w:rsid w:val="3AF3116F"/>
    <w:rsid w:val="3B0A588A"/>
    <w:rsid w:val="3B361BD0"/>
    <w:rsid w:val="3B3B3A87"/>
    <w:rsid w:val="3B4301E2"/>
    <w:rsid w:val="3B7254B3"/>
    <w:rsid w:val="3B760FC6"/>
    <w:rsid w:val="3B935A69"/>
    <w:rsid w:val="3BA448B8"/>
    <w:rsid w:val="3BC1546A"/>
    <w:rsid w:val="3BC865B9"/>
    <w:rsid w:val="3BE81839"/>
    <w:rsid w:val="3C535ADF"/>
    <w:rsid w:val="3C8D0372"/>
    <w:rsid w:val="3C977511"/>
    <w:rsid w:val="3C980E49"/>
    <w:rsid w:val="3CEF1A52"/>
    <w:rsid w:val="3D2435A4"/>
    <w:rsid w:val="3D3F41B7"/>
    <w:rsid w:val="3D712EC0"/>
    <w:rsid w:val="3D7B789B"/>
    <w:rsid w:val="3D91173F"/>
    <w:rsid w:val="3D967516"/>
    <w:rsid w:val="3DA47757"/>
    <w:rsid w:val="3DAD7AEB"/>
    <w:rsid w:val="3DB14BF0"/>
    <w:rsid w:val="3DBE277A"/>
    <w:rsid w:val="3DD006DC"/>
    <w:rsid w:val="3E1A5306"/>
    <w:rsid w:val="3E376652"/>
    <w:rsid w:val="3E5139B0"/>
    <w:rsid w:val="3E5F540E"/>
    <w:rsid w:val="3E62086A"/>
    <w:rsid w:val="3E900341"/>
    <w:rsid w:val="3EF0751B"/>
    <w:rsid w:val="3EFA07AD"/>
    <w:rsid w:val="3F336C31"/>
    <w:rsid w:val="3F3B3785"/>
    <w:rsid w:val="3F497606"/>
    <w:rsid w:val="3F4C3439"/>
    <w:rsid w:val="3F7E4099"/>
    <w:rsid w:val="3F8E5FAB"/>
    <w:rsid w:val="3FB452E6"/>
    <w:rsid w:val="3FBC64AD"/>
    <w:rsid w:val="3FC97513"/>
    <w:rsid w:val="3FCE1CBC"/>
    <w:rsid w:val="3FDB6ED3"/>
    <w:rsid w:val="40036458"/>
    <w:rsid w:val="400B7CB6"/>
    <w:rsid w:val="4027017D"/>
    <w:rsid w:val="402814CD"/>
    <w:rsid w:val="403E3F9B"/>
    <w:rsid w:val="4042633A"/>
    <w:rsid w:val="406B604B"/>
    <w:rsid w:val="40715346"/>
    <w:rsid w:val="40A26CAE"/>
    <w:rsid w:val="40A358E5"/>
    <w:rsid w:val="40AB744F"/>
    <w:rsid w:val="40B7708E"/>
    <w:rsid w:val="40CC0606"/>
    <w:rsid w:val="40DE7AED"/>
    <w:rsid w:val="40EC1247"/>
    <w:rsid w:val="4104351E"/>
    <w:rsid w:val="411E3EBD"/>
    <w:rsid w:val="412C0AC9"/>
    <w:rsid w:val="4159636A"/>
    <w:rsid w:val="415A0714"/>
    <w:rsid w:val="417E2869"/>
    <w:rsid w:val="4188168E"/>
    <w:rsid w:val="4192226E"/>
    <w:rsid w:val="41B618EE"/>
    <w:rsid w:val="41E00614"/>
    <w:rsid w:val="41E302CB"/>
    <w:rsid w:val="41EC31FE"/>
    <w:rsid w:val="42046CB9"/>
    <w:rsid w:val="42106082"/>
    <w:rsid w:val="42320E0A"/>
    <w:rsid w:val="42A6069F"/>
    <w:rsid w:val="42A80CAC"/>
    <w:rsid w:val="42AB5EC0"/>
    <w:rsid w:val="42E032B0"/>
    <w:rsid w:val="42E47CD2"/>
    <w:rsid w:val="42E817AA"/>
    <w:rsid w:val="43487BB0"/>
    <w:rsid w:val="436B215F"/>
    <w:rsid w:val="4371180D"/>
    <w:rsid w:val="43A459DA"/>
    <w:rsid w:val="43B532E7"/>
    <w:rsid w:val="43C97C5C"/>
    <w:rsid w:val="43CD6581"/>
    <w:rsid w:val="43DD6BF6"/>
    <w:rsid w:val="43E00590"/>
    <w:rsid w:val="43F065B5"/>
    <w:rsid w:val="43F869B2"/>
    <w:rsid w:val="44150925"/>
    <w:rsid w:val="44701B00"/>
    <w:rsid w:val="447463CA"/>
    <w:rsid w:val="448A3328"/>
    <w:rsid w:val="44BA125B"/>
    <w:rsid w:val="44F7014F"/>
    <w:rsid w:val="450C4EC6"/>
    <w:rsid w:val="45115463"/>
    <w:rsid w:val="454C73D3"/>
    <w:rsid w:val="4550440E"/>
    <w:rsid w:val="456841E0"/>
    <w:rsid w:val="45706E55"/>
    <w:rsid w:val="45775F35"/>
    <w:rsid w:val="45993D70"/>
    <w:rsid w:val="45F45F4D"/>
    <w:rsid w:val="46165561"/>
    <w:rsid w:val="462B260F"/>
    <w:rsid w:val="4667527A"/>
    <w:rsid w:val="466E7DEC"/>
    <w:rsid w:val="46FA2178"/>
    <w:rsid w:val="475E5238"/>
    <w:rsid w:val="47643CB2"/>
    <w:rsid w:val="476E2CE3"/>
    <w:rsid w:val="478C4766"/>
    <w:rsid w:val="47B1169A"/>
    <w:rsid w:val="47B80C35"/>
    <w:rsid w:val="47CB5181"/>
    <w:rsid w:val="47CC6E97"/>
    <w:rsid w:val="47E038B8"/>
    <w:rsid w:val="47E72A75"/>
    <w:rsid w:val="47F725CA"/>
    <w:rsid w:val="48124E64"/>
    <w:rsid w:val="483F5D1E"/>
    <w:rsid w:val="484E4319"/>
    <w:rsid w:val="487815A6"/>
    <w:rsid w:val="4887155E"/>
    <w:rsid w:val="48AF7108"/>
    <w:rsid w:val="48BA2C2C"/>
    <w:rsid w:val="490A4F21"/>
    <w:rsid w:val="49452061"/>
    <w:rsid w:val="495711BC"/>
    <w:rsid w:val="495A4812"/>
    <w:rsid w:val="49F33A5A"/>
    <w:rsid w:val="4A2614C3"/>
    <w:rsid w:val="4A275032"/>
    <w:rsid w:val="4A406728"/>
    <w:rsid w:val="4A8F64C4"/>
    <w:rsid w:val="4A991603"/>
    <w:rsid w:val="4AB77461"/>
    <w:rsid w:val="4ACB3011"/>
    <w:rsid w:val="4AD80C77"/>
    <w:rsid w:val="4AF97F26"/>
    <w:rsid w:val="4B01161C"/>
    <w:rsid w:val="4B164327"/>
    <w:rsid w:val="4B3D032A"/>
    <w:rsid w:val="4B485BB6"/>
    <w:rsid w:val="4B791BFE"/>
    <w:rsid w:val="4B9B323D"/>
    <w:rsid w:val="4B9E4145"/>
    <w:rsid w:val="4BA3391F"/>
    <w:rsid w:val="4BD15220"/>
    <w:rsid w:val="4BD56917"/>
    <w:rsid w:val="4C0B21A7"/>
    <w:rsid w:val="4C1D40BF"/>
    <w:rsid w:val="4C2F297C"/>
    <w:rsid w:val="4C43338F"/>
    <w:rsid w:val="4C62425D"/>
    <w:rsid w:val="4C692ADA"/>
    <w:rsid w:val="4C7741FB"/>
    <w:rsid w:val="4C7916DF"/>
    <w:rsid w:val="4C8A5D4C"/>
    <w:rsid w:val="4C8D1398"/>
    <w:rsid w:val="4CA829A4"/>
    <w:rsid w:val="4CC64536"/>
    <w:rsid w:val="4CE600CB"/>
    <w:rsid w:val="4D50078B"/>
    <w:rsid w:val="4D6A78C3"/>
    <w:rsid w:val="4D6F7AF2"/>
    <w:rsid w:val="4D764DDA"/>
    <w:rsid w:val="4D914814"/>
    <w:rsid w:val="4DAE1AE7"/>
    <w:rsid w:val="4DC4029D"/>
    <w:rsid w:val="4E27576B"/>
    <w:rsid w:val="4E481C5A"/>
    <w:rsid w:val="4E4F32E3"/>
    <w:rsid w:val="4E5377D6"/>
    <w:rsid w:val="4E6014DC"/>
    <w:rsid w:val="4EA119F1"/>
    <w:rsid w:val="4EB11AF5"/>
    <w:rsid w:val="4EC310A1"/>
    <w:rsid w:val="4EE92CB2"/>
    <w:rsid w:val="4EEB7471"/>
    <w:rsid w:val="4F0E5219"/>
    <w:rsid w:val="4F194B09"/>
    <w:rsid w:val="4F22339F"/>
    <w:rsid w:val="4F224B7A"/>
    <w:rsid w:val="4F2F56AF"/>
    <w:rsid w:val="4F323738"/>
    <w:rsid w:val="4F3275FA"/>
    <w:rsid w:val="4F4179B2"/>
    <w:rsid w:val="4F53352B"/>
    <w:rsid w:val="4F821468"/>
    <w:rsid w:val="4F8903C7"/>
    <w:rsid w:val="4F9445C6"/>
    <w:rsid w:val="4FD27C0D"/>
    <w:rsid w:val="4FDB492A"/>
    <w:rsid w:val="50556E5A"/>
    <w:rsid w:val="505C18DA"/>
    <w:rsid w:val="50674613"/>
    <w:rsid w:val="50831D1B"/>
    <w:rsid w:val="5093137F"/>
    <w:rsid w:val="50AA0A0D"/>
    <w:rsid w:val="50C25D01"/>
    <w:rsid w:val="50D224BD"/>
    <w:rsid w:val="50E76695"/>
    <w:rsid w:val="510D5BFD"/>
    <w:rsid w:val="513033C5"/>
    <w:rsid w:val="517823D8"/>
    <w:rsid w:val="51C5706D"/>
    <w:rsid w:val="51D576F9"/>
    <w:rsid w:val="51D66F39"/>
    <w:rsid w:val="5234515F"/>
    <w:rsid w:val="52694F24"/>
    <w:rsid w:val="527E3456"/>
    <w:rsid w:val="52946FDD"/>
    <w:rsid w:val="52BB2BB2"/>
    <w:rsid w:val="52CD2EAE"/>
    <w:rsid w:val="53244068"/>
    <w:rsid w:val="5335538B"/>
    <w:rsid w:val="534134D3"/>
    <w:rsid w:val="535C5234"/>
    <w:rsid w:val="536A3F48"/>
    <w:rsid w:val="53821098"/>
    <w:rsid w:val="53A83725"/>
    <w:rsid w:val="53C45EE2"/>
    <w:rsid w:val="5440484B"/>
    <w:rsid w:val="54541F87"/>
    <w:rsid w:val="54710F2C"/>
    <w:rsid w:val="548670C6"/>
    <w:rsid w:val="54AA51E3"/>
    <w:rsid w:val="54AE5FAA"/>
    <w:rsid w:val="54C12E36"/>
    <w:rsid w:val="54ED3B9D"/>
    <w:rsid w:val="550813BE"/>
    <w:rsid w:val="55235618"/>
    <w:rsid w:val="55352D14"/>
    <w:rsid w:val="55597879"/>
    <w:rsid w:val="55684BFB"/>
    <w:rsid w:val="556B2142"/>
    <w:rsid w:val="55845448"/>
    <w:rsid w:val="559C0803"/>
    <w:rsid w:val="55A81F10"/>
    <w:rsid w:val="55A97069"/>
    <w:rsid w:val="55B8430C"/>
    <w:rsid w:val="55CD544A"/>
    <w:rsid w:val="55EF4C96"/>
    <w:rsid w:val="56132CF0"/>
    <w:rsid w:val="561C1163"/>
    <w:rsid w:val="561E614B"/>
    <w:rsid w:val="56206008"/>
    <w:rsid w:val="56391CAF"/>
    <w:rsid w:val="564D1797"/>
    <w:rsid w:val="56502397"/>
    <w:rsid w:val="56BC3C05"/>
    <w:rsid w:val="56C5267B"/>
    <w:rsid w:val="56CC7E97"/>
    <w:rsid w:val="56DD11BA"/>
    <w:rsid w:val="56F664B8"/>
    <w:rsid w:val="572F7D59"/>
    <w:rsid w:val="574160A0"/>
    <w:rsid w:val="574F5305"/>
    <w:rsid w:val="579B776F"/>
    <w:rsid w:val="57A54C19"/>
    <w:rsid w:val="57C138DF"/>
    <w:rsid w:val="57D4771D"/>
    <w:rsid w:val="57E22DB2"/>
    <w:rsid w:val="57E65D52"/>
    <w:rsid w:val="58233F8A"/>
    <w:rsid w:val="5847772A"/>
    <w:rsid w:val="586A572B"/>
    <w:rsid w:val="58755470"/>
    <w:rsid w:val="588D77A9"/>
    <w:rsid w:val="58A03E85"/>
    <w:rsid w:val="58AC10F7"/>
    <w:rsid w:val="58C75A06"/>
    <w:rsid w:val="592D7057"/>
    <w:rsid w:val="597B6333"/>
    <w:rsid w:val="59BB1BFC"/>
    <w:rsid w:val="59E54579"/>
    <w:rsid w:val="5A064CCE"/>
    <w:rsid w:val="5A921A63"/>
    <w:rsid w:val="5A951B44"/>
    <w:rsid w:val="5A997CF2"/>
    <w:rsid w:val="5AA30A7F"/>
    <w:rsid w:val="5AC207A5"/>
    <w:rsid w:val="5B247817"/>
    <w:rsid w:val="5B285079"/>
    <w:rsid w:val="5B2F1F99"/>
    <w:rsid w:val="5B425472"/>
    <w:rsid w:val="5B50659F"/>
    <w:rsid w:val="5B51351F"/>
    <w:rsid w:val="5B533D73"/>
    <w:rsid w:val="5B657E18"/>
    <w:rsid w:val="5B9B0495"/>
    <w:rsid w:val="5BB04C2C"/>
    <w:rsid w:val="5BB53B4A"/>
    <w:rsid w:val="5BE06DB6"/>
    <w:rsid w:val="5C10598B"/>
    <w:rsid w:val="5C1E703D"/>
    <w:rsid w:val="5C263D56"/>
    <w:rsid w:val="5C2A41DB"/>
    <w:rsid w:val="5C374D34"/>
    <w:rsid w:val="5C3F26E1"/>
    <w:rsid w:val="5C473312"/>
    <w:rsid w:val="5C540886"/>
    <w:rsid w:val="5C5A3B1C"/>
    <w:rsid w:val="5C6032EB"/>
    <w:rsid w:val="5C6C6AC8"/>
    <w:rsid w:val="5CC369EE"/>
    <w:rsid w:val="5CD16445"/>
    <w:rsid w:val="5CEA3BC8"/>
    <w:rsid w:val="5CFC3F5D"/>
    <w:rsid w:val="5D232696"/>
    <w:rsid w:val="5D387374"/>
    <w:rsid w:val="5D715F2A"/>
    <w:rsid w:val="5D731EE5"/>
    <w:rsid w:val="5DB23AD3"/>
    <w:rsid w:val="5E252170"/>
    <w:rsid w:val="5E8914D8"/>
    <w:rsid w:val="5E9733AB"/>
    <w:rsid w:val="5EAB1CB6"/>
    <w:rsid w:val="5EB17A5F"/>
    <w:rsid w:val="5ECA27C6"/>
    <w:rsid w:val="5ED3397A"/>
    <w:rsid w:val="5F1F7B0A"/>
    <w:rsid w:val="5F274073"/>
    <w:rsid w:val="5F31182D"/>
    <w:rsid w:val="5F697A43"/>
    <w:rsid w:val="5FC74B1C"/>
    <w:rsid w:val="5FF01967"/>
    <w:rsid w:val="60035C31"/>
    <w:rsid w:val="600F0C42"/>
    <w:rsid w:val="602114D2"/>
    <w:rsid w:val="603203C7"/>
    <w:rsid w:val="604E4854"/>
    <w:rsid w:val="606238EA"/>
    <w:rsid w:val="60845522"/>
    <w:rsid w:val="608A48AF"/>
    <w:rsid w:val="608D3749"/>
    <w:rsid w:val="60CD486A"/>
    <w:rsid w:val="60D862C3"/>
    <w:rsid w:val="614459AC"/>
    <w:rsid w:val="61652BBD"/>
    <w:rsid w:val="618D0033"/>
    <w:rsid w:val="618E18D8"/>
    <w:rsid w:val="61C1756D"/>
    <w:rsid w:val="61F532BF"/>
    <w:rsid w:val="620C0B61"/>
    <w:rsid w:val="624502F4"/>
    <w:rsid w:val="62490D68"/>
    <w:rsid w:val="62566680"/>
    <w:rsid w:val="62597560"/>
    <w:rsid w:val="625C6D43"/>
    <w:rsid w:val="62822D87"/>
    <w:rsid w:val="62847676"/>
    <w:rsid w:val="62A73B41"/>
    <w:rsid w:val="62C65876"/>
    <w:rsid w:val="631932B5"/>
    <w:rsid w:val="63267D8E"/>
    <w:rsid w:val="63A8376B"/>
    <w:rsid w:val="63C54419"/>
    <w:rsid w:val="63CD3EBD"/>
    <w:rsid w:val="63FA3207"/>
    <w:rsid w:val="64035DC5"/>
    <w:rsid w:val="6461446A"/>
    <w:rsid w:val="6465452E"/>
    <w:rsid w:val="647302C0"/>
    <w:rsid w:val="64800364"/>
    <w:rsid w:val="64836EB1"/>
    <w:rsid w:val="64846651"/>
    <w:rsid w:val="64AD7157"/>
    <w:rsid w:val="64BF016A"/>
    <w:rsid w:val="64CD5CBB"/>
    <w:rsid w:val="64CE5FB0"/>
    <w:rsid w:val="64E649C7"/>
    <w:rsid w:val="64F14446"/>
    <w:rsid w:val="64FC1143"/>
    <w:rsid w:val="650F61E4"/>
    <w:rsid w:val="65302A8C"/>
    <w:rsid w:val="65530876"/>
    <w:rsid w:val="655F347A"/>
    <w:rsid w:val="656F3740"/>
    <w:rsid w:val="65856D85"/>
    <w:rsid w:val="65A74F4D"/>
    <w:rsid w:val="65AB77EC"/>
    <w:rsid w:val="65B335D9"/>
    <w:rsid w:val="65F14530"/>
    <w:rsid w:val="661D14EA"/>
    <w:rsid w:val="66326430"/>
    <w:rsid w:val="66684A55"/>
    <w:rsid w:val="667016F2"/>
    <w:rsid w:val="66770C98"/>
    <w:rsid w:val="66AE2ECB"/>
    <w:rsid w:val="66C756DB"/>
    <w:rsid w:val="66F86D4F"/>
    <w:rsid w:val="67206B97"/>
    <w:rsid w:val="673D7EEC"/>
    <w:rsid w:val="67426E4A"/>
    <w:rsid w:val="67810A51"/>
    <w:rsid w:val="678E3B5D"/>
    <w:rsid w:val="67AE2D1D"/>
    <w:rsid w:val="67B074A6"/>
    <w:rsid w:val="67FE5BB4"/>
    <w:rsid w:val="68004FFF"/>
    <w:rsid w:val="681053BB"/>
    <w:rsid w:val="68123FD5"/>
    <w:rsid w:val="68560A17"/>
    <w:rsid w:val="68A2273F"/>
    <w:rsid w:val="68C53F3C"/>
    <w:rsid w:val="68D6411C"/>
    <w:rsid w:val="68F32431"/>
    <w:rsid w:val="692D4464"/>
    <w:rsid w:val="6938470E"/>
    <w:rsid w:val="69CA3F05"/>
    <w:rsid w:val="69D23A93"/>
    <w:rsid w:val="6A086A80"/>
    <w:rsid w:val="6A3D6012"/>
    <w:rsid w:val="6A4B6946"/>
    <w:rsid w:val="6A707176"/>
    <w:rsid w:val="6A862645"/>
    <w:rsid w:val="6AB31367"/>
    <w:rsid w:val="6AB64EB9"/>
    <w:rsid w:val="6AD93185"/>
    <w:rsid w:val="6AFD0629"/>
    <w:rsid w:val="6B2A1D3D"/>
    <w:rsid w:val="6B5A36BD"/>
    <w:rsid w:val="6BA173EB"/>
    <w:rsid w:val="6BD526E8"/>
    <w:rsid w:val="6BE2516A"/>
    <w:rsid w:val="6C145E89"/>
    <w:rsid w:val="6C262ABA"/>
    <w:rsid w:val="6C5B0510"/>
    <w:rsid w:val="6C884AAA"/>
    <w:rsid w:val="6C8F79F8"/>
    <w:rsid w:val="6CE5178A"/>
    <w:rsid w:val="6D042B59"/>
    <w:rsid w:val="6D2D2A38"/>
    <w:rsid w:val="6D661555"/>
    <w:rsid w:val="6D7A51D2"/>
    <w:rsid w:val="6D7B3510"/>
    <w:rsid w:val="6D807CC3"/>
    <w:rsid w:val="6D8F69E9"/>
    <w:rsid w:val="6D951A56"/>
    <w:rsid w:val="6D953790"/>
    <w:rsid w:val="6DBB404F"/>
    <w:rsid w:val="6E266754"/>
    <w:rsid w:val="6E413367"/>
    <w:rsid w:val="6E694F5B"/>
    <w:rsid w:val="6E7C660B"/>
    <w:rsid w:val="6E7F5616"/>
    <w:rsid w:val="6E8126B3"/>
    <w:rsid w:val="6E9076ED"/>
    <w:rsid w:val="6E964A6B"/>
    <w:rsid w:val="6EB67E65"/>
    <w:rsid w:val="6ED73D76"/>
    <w:rsid w:val="6EF20214"/>
    <w:rsid w:val="6F0C6427"/>
    <w:rsid w:val="6F282776"/>
    <w:rsid w:val="6F506A0E"/>
    <w:rsid w:val="6F565A06"/>
    <w:rsid w:val="6F6C75EE"/>
    <w:rsid w:val="6F7343C8"/>
    <w:rsid w:val="6F833FCB"/>
    <w:rsid w:val="6F8866D3"/>
    <w:rsid w:val="6FA5056D"/>
    <w:rsid w:val="6FBD4A2F"/>
    <w:rsid w:val="6FC7528D"/>
    <w:rsid w:val="6FF9170D"/>
    <w:rsid w:val="70455963"/>
    <w:rsid w:val="70721290"/>
    <w:rsid w:val="70BF24DA"/>
    <w:rsid w:val="70DA381B"/>
    <w:rsid w:val="7143038C"/>
    <w:rsid w:val="71496C0A"/>
    <w:rsid w:val="71775FF0"/>
    <w:rsid w:val="718C5570"/>
    <w:rsid w:val="71995FE4"/>
    <w:rsid w:val="719F59D6"/>
    <w:rsid w:val="71BA4709"/>
    <w:rsid w:val="71C37609"/>
    <w:rsid w:val="71D46854"/>
    <w:rsid w:val="71F103E7"/>
    <w:rsid w:val="71FD2BEB"/>
    <w:rsid w:val="729E3267"/>
    <w:rsid w:val="72BA3982"/>
    <w:rsid w:val="72C4042E"/>
    <w:rsid w:val="7355410F"/>
    <w:rsid w:val="73692DB9"/>
    <w:rsid w:val="736B7970"/>
    <w:rsid w:val="73A77438"/>
    <w:rsid w:val="73CD7B13"/>
    <w:rsid w:val="73E15200"/>
    <w:rsid w:val="74786307"/>
    <w:rsid w:val="74944DBA"/>
    <w:rsid w:val="74A24D5F"/>
    <w:rsid w:val="74D4098D"/>
    <w:rsid w:val="74F322FE"/>
    <w:rsid w:val="74F75DA5"/>
    <w:rsid w:val="7507348A"/>
    <w:rsid w:val="750B108F"/>
    <w:rsid w:val="750D33A8"/>
    <w:rsid w:val="75492C2D"/>
    <w:rsid w:val="75526B58"/>
    <w:rsid w:val="75580B63"/>
    <w:rsid w:val="75675E6E"/>
    <w:rsid w:val="75C12059"/>
    <w:rsid w:val="75E01633"/>
    <w:rsid w:val="760E2F23"/>
    <w:rsid w:val="76127B60"/>
    <w:rsid w:val="76224E84"/>
    <w:rsid w:val="76465F91"/>
    <w:rsid w:val="768B3986"/>
    <w:rsid w:val="76A5680C"/>
    <w:rsid w:val="76AB3A5B"/>
    <w:rsid w:val="76CF0033"/>
    <w:rsid w:val="76D45CCF"/>
    <w:rsid w:val="77005500"/>
    <w:rsid w:val="77251B09"/>
    <w:rsid w:val="774104A2"/>
    <w:rsid w:val="776D343B"/>
    <w:rsid w:val="778D033F"/>
    <w:rsid w:val="77967EC6"/>
    <w:rsid w:val="77A8014E"/>
    <w:rsid w:val="77AC6DF1"/>
    <w:rsid w:val="77C56609"/>
    <w:rsid w:val="77CD5D05"/>
    <w:rsid w:val="77F541BE"/>
    <w:rsid w:val="77FF27CB"/>
    <w:rsid w:val="781D573B"/>
    <w:rsid w:val="78385050"/>
    <w:rsid w:val="783C74EF"/>
    <w:rsid w:val="78625DBE"/>
    <w:rsid w:val="786760F7"/>
    <w:rsid w:val="789146A6"/>
    <w:rsid w:val="7899508B"/>
    <w:rsid w:val="78D8691D"/>
    <w:rsid w:val="790559E8"/>
    <w:rsid w:val="790941DE"/>
    <w:rsid w:val="791204A0"/>
    <w:rsid w:val="79824404"/>
    <w:rsid w:val="79927053"/>
    <w:rsid w:val="79A8527F"/>
    <w:rsid w:val="79C51C31"/>
    <w:rsid w:val="79DC244B"/>
    <w:rsid w:val="79DF5BCB"/>
    <w:rsid w:val="79E56A30"/>
    <w:rsid w:val="7A082B57"/>
    <w:rsid w:val="7A1E418E"/>
    <w:rsid w:val="7A1E4C07"/>
    <w:rsid w:val="7A22664F"/>
    <w:rsid w:val="7A4D53F2"/>
    <w:rsid w:val="7A532FE2"/>
    <w:rsid w:val="7A8358AD"/>
    <w:rsid w:val="7A8F4231"/>
    <w:rsid w:val="7A997E70"/>
    <w:rsid w:val="7AAE71EC"/>
    <w:rsid w:val="7ABD5CF9"/>
    <w:rsid w:val="7AC17A43"/>
    <w:rsid w:val="7ADF2C35"/>
    <w:rsid w:val="7B010199"/>
    <w:rsid w:val="7B27632A"/>
    <w:rsid w:val="7B346CE2"/>
    <w:rsid w:val="7BAA6CC7"/>
    <w:rsid w:val="7BFD3E6C"/>
    <w:rsid w:val="7C425523"/>
    <w:rsid w:val="7C5E4A52"/>
    <w:rsid w:val="7C8B589C"/>
    <w:rsid w:val="7CB6708A"/>
    <w:rsid w:val="7D277B55"/>
    <w:rsid w:val="7D436670"/>
    <w:rsid w:val="7D4C1564"/>
    <w:rsid w:val="7D5E2EB5"/>
    <w:rsid w:val="7D623C25"/>
    <w:rsid w:val="7D65651D"/>
    <w:rsid w:val="7D726A94"/>
    <w:rsid w:val="7D785463"/>
    <w:rsid w:val="7D870BA7"/>
    <w:rsid w:val="7D93486C"/>
    <w:rsid w:val="7DB20647"/>
    <w:rsid w:val="7DB97A76"/>
    <w:rsid w:val="7E235E22"/>
    <w:rsid w:val="7E275BE3"/>
    <w:rsid w:val="7E38595F"/>
    <w:rsid w:val="7E617DE3"/>
    <w:rsid w:val="7E70345A"/>
    <w:rsid w:val="7E971A7F"/>
    <w:rsid w:val="7E990D51"/>
    <w:rsid w:val="7EA375DC"/>
    <w:rsid w:val="7EAC77EB"/>
    <w:rsid w:val="7EBA5176"/>
    <w:rsid w:val="7EE37A0B"/>
    <w:rsid w:val="7F121018"/>
    <w:rsid w:val="7F184EE1"/>
    <w:rsid w:val="7F3A0A95"/>
    <w:rsid w:val="7F57107D"/>
    <w:rsid w:val="7F5B4197"/>
    <w:rsid w:val="7F5F61F2"/>
    <w:rsid w:val="7F823AD8"/>
    <w:rsid w:val="7F991375"/>
    <w:rsid w:val="7FAD225E"/>
    <w:rsid w:val="7FD87758"/>
    <w:rsid w:val="7FF7296A"/>
    <w:rsid w:val="7FF8654D"/>
    <w:rsid w:val="7FF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2"/>
    <w:qFormat/>
    <w:uiPriority w:val="9"/>
    <w:pPr>
      <w:keepNext/>
      <w:keepLines/>
      <w:widowControl/>
      <w:numPr>
        <w:ilvl w:val="0"/>
        <w:numId w:val="1"/>
      </w:numPr>
      <w:snapToGrid w:val="0"/>
      <w:spacing w:beforeLines="100" w:afterLines="100"/>
      <w:jc w:val="left"/>
      <w:outlineLvl w:val="0"/>
    </w:pPr>
    <w:rPr>
      <w:rFonts w:ascii="黑体" w:hAnsi="黑体" w:eastAsia="黑体" w:cs="Times New Roman"/>
      <w:bCs/>
      <w:color w:val="000000"/>
      <w:kern w:val="44"/>
      <w:szCs w:val="44"/>
    </w:rPr>
  </w:style>
  <w:style w:type="paragraph" w:styleId="3">
    <w:name w:val="heading 2"/>
    <w:basedOn w:val="1"/>
    <w:next w:val="1"/>
    <w:link w:val="63"/>
    <w:qFormat/>
    <w:uiPriority w:val="99"/>
    <w:pPr>
      <w:keepNext/>
      <w:keepLines/>
      <w:widowControl/>
      <w:numPr>
        <w:ilvl w:val="1"/>
        <w:numId w:val="1"/>
      </w:numPr>
      <w:spacing w:beforeLines="100" w:afterLines="100"/>
      <w:jc w:val="left"/>
      <w:outlineLvl w:val="1"/>
    </w:pPr>
    <w:rPr>
      <w:rFonts w:ascii="宋体" w:hAnsi="宋体" w:eastAsia="黑体" w:cs="Times New Roman"/>
      <w:bCs/>
      <w:szCs w:val="32"/>
    </w:rPr>
  </w:style>
  <w:style w:type="paragraph" w:styleId="4">
    <w:name w:val="heading 3"/>
    <w:basedOn w:val="1"/>
    <w:next w:val="1"/>
    <w:link w:val="64"/>
    <w:qFormat/>
    <w:uiPriority w:val="9"/>
    <w:pPr>
      <w:keepNext/>
      <w:keepLines/>
      <w:widowControl/>
      <w:numPr>
        <w:ilvl w:val="2"/>
        <w:numId w:val="1"/>
      </w:numPr>
      <w:adjustRightInd w:val="0"/>
      <w:snapToGrid w:val="0"/>
      <w:spacing w:beforeLines="50" w:afterLines="50"/>
      <w:jc w:val="left"/>
      <w:outlineLvl w:val="2"/>
    </w:pPr>
    <w:rPr>
      <w:rFonts w:ascii="Times New Roman" w:hAnsi="Times New Roman" w:eastAsia="黑体" w:cs="Times New Roman"/>
      <w:bCs/>
      <w:szCs w:val="32"/>
    </w:rPr>
  </w:style>
  <w:style w:type="paragraph" w:styleId="5">
    <w:name w:val="heading 4"/>
    <w:basedOn w:val="1"/>
    <w:next w:val="1"/>
    <w:link w:val="65"/>
    <w:qFormat/>
    <w:uiPriority w:val="9"/>
    <w:pPr>
      <w:keepNext/>
      <w:keepLines/>
      <w:widowControl/>
      <w:numPr>
        <w:ilvl w:val="3"/>
        <w:numId w:val="1"/>
      </w:numPr>
      <w:spacing w:before="280" w:after="290" w:line="376" w:lineRule="auto"/>
      <w:jc w:val="left"/>
      <w:outlineLvl w:val="3"/>
    </w:pPr>
    <w:rPr>
      <w:rFonts w:ascii="Arial" w:hAnsi="Arial" w:eastAsia="黑体" w:cs="Times New Roman"/>
      <w:b/>
      <w:bCs/>
      <w:sz w:val="28"/>
      <w:szCs w:val="28"/>
    </w:rPr>
  </w:style>
  <w:style w:type="paragraph" w:styleId="6">
    <w:name w:val="heading 5"/>
    <w:basedOn w:val="1"/>
    <w:next w:val="1"/>
    <w:link w:val="66"/>
    <w:qFormat/>
    <w:uiPriority w:val="9"/>
    <w:pPr>
      <w:keepNext/>
      <w:keepLines/>
      <w:widowControl/>
      <w:numPr>
        <w:ilvl w:val="4"/>
        <w:numId w:val="1"/>
      </w:numPr>
      <w:spacing w:before="280" w:after="29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67"/>
    <w:qFormat/>
    <w:uiPriority w:val="99"/>
    <w:pPr>
      <w:keepNext/>
      <w:keepLines/>
      <w:widowControl/>
      <w:numPr>
        <w:ilvl w:val="5"/>
        <w:numId w:val="1"/>
      </w:numPr>
      <w:spacing w:before="240" w:after="64" w:line="320" w:lineRule="auto"/>
      <w:jc w:val="left"/>
      <w:outlineLvl w:val="5"/>
    </w:pPr>
    <w:rPr>
      <w:rFonts w:ascii="Arial" w:hAnsi="Arial" w:eastAsia="黑体" w:cs="Times New Roman"/>
      <w:b/>
      <w:bCs/>
      <w:sz w:val="24"/>
    </w:rPr>
  </w:style>
  <w:style w:type="paragraph" w:styleId="8">
    <w:name w:val="heading 7"/>
    <w:basedOn w:val="1"/>
    <w:next w:val="1"/>
    <w:link w:val="68"/>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sz w:val="24"/>
    </w:rPr>
  </w:style>
  <w:style w:type="paragraph" w:styleId="9">
    <w:name w:val="heading 8"/>
    <w:basedOn w:val="1"/>
    <w:next w:val="1"/>
    <w:link w:val="69"/>
    <w:qFormat/>
    <w:uiPriority w:val="99"/>
    <w:pPr>
      <w:keepNext/>
      <w:keepLines/>
      <w:widowControl/>
      <w:numPr>
        <w:ilvl w:val="7"/>
        <w:numId w:val="1"/>
      </w:numPr>
      <w:spacing w:before="240" w:after="64" w:line="320" w:lineRule="auto"/>
      <w:jc w:val="left"/>
      <w:outlineLvl w:val="7"/>
    </w:pPr>
    <w:rPr>
      <w:rFonts w:ascii="Arial" w:hAnsi="Arial" w:eastAsia="黑体" w:cs="Times New Roman"/>
      <w:sz w:val="24"/>
    </w:rPr>
  </w:style>
  <w:style w:type="paragraph" w:styleId="10">
    <w:name w:val="heading 9"/>
    <w:basedOn w:val="1"/>
    <w:next w:val="1"/>
    <w:link w:val="70"/>
    <w:qFormat/>
    <w:uiPriority w:val="99"/>
    <w:pPr>
      <w:keepNext/>
      <w:keepLines/>
      <w:widowControl/>
      <w:numPr>
        <w:ilvl w:val="8"/>
        <w:numId w:val="1"/>
      </w:numPr>
      <w:spacing w:before="240" w:after="64" w:line="320" w:lineRule="auto"/>
      <w:jc w:val="left"/>
      <w:outlineLvl w:val="8"/>
    </w:pPr>
    <w:rPr>
      <w:rFonts w:ascii="Arial" w:hAnsi="Arial" w:eastAsia="黑体" w:cs="Times New Roman"/>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ind w:left="1260"/>
      <w:jc w:val="left"/>
    </w:pPr>
    <w:rPr>
      <w:rFonts w:eastAsiaTheme="minorHAnsi"/>
      <w:sz w:val="18"/>
      <w:szCs w:val="18"/>
    </w:rPr>
  </w:style>
  <w:style w:type="paragraph" w:styleId="12">
    <w:name w:val="Body Text"/>
    <w:basedOn w:val="1"/>
    <w:qFormat/>
    <w:uiPriority w:val="1"/>
    <w:rPr>
      <w:szCs w:val="21"/>
    </w:rPr>
  </w:style>
  <w:style w:type="paragraph" w:styleId="13">
    <w:name w:val="toc 5"/>
    <w:basedOn w:val="1"/>
    <w:next w:val="1"/>
    <w:semiHidden/>
    <w:unhideWhenUsed/>
    <w:qFormat/>
    <w:uiPriority w:val="39"/>
    <w:pPr>
      <w:ind w:left="840"/>
      <w:jc w:val="left"/>
    </w:pPr>
    <w:rPr>
      <w:rFonts w:eastAsiaTheme="minorHAnsi"/>
      <w:sz w:val="18"/>
      <w:szCs w:val="18"/>
    </w:rPr>
  </w:style>
  <w:style w:type="paragraph" w:styleId="14">
    <w:name w:val="toc 3"/>
    <w:basedOn w:val="1"/>
    <w:next w:val="1"/>
    <w:unhideWhenUsed/>
    <w:qFormat/>
    <w:uiPriority w:val="39"/>
    <w:pPr>
      <w:ind w:left="420"/>
      <w:jc w:val="left"/>
    </w:pPr>
    <w:rPr>
      <w:rFonts w:eastAsiaTheme="minorHAnsi"/>
      <w:i/>
      <w:iCs/>
      <w:sz w:val="20"/>
      <w:szCs w:val="20"/>
    </w:rPr>
  </w:style>
  <w:style w:type="paragraph" w:styleId="15">
    <w:name w:val="toc 8"/>
    <w:basedOn w:val="1"/>
    <w:next w:val="1"/>
    <w:semiHidden/>
    <w:unhideWhenUsed/>
    <w:qFormat/>
    <w:uiPriority w:val="39"/>
    <w:pPr>
      <w:ind w:left="1470"/>
      <w:jc w:val="left"/>
    </w:pPr>
    <w:rPr>
      <w:rFonts w:eastAsiaTheme="minorHAnsi"/>
      <w:sz w:val="18"/>
      <w:szCs w:val="18"/>
    </w:rPr>
  </w:style>
  <w:style w:type="paragraph" w:styleId="16">
    <w:name w:val="Balloon Text"/>
    <w:basedOn w:val="1"/>
    <w:link w:val="72"/>
    <w:semiHidden/>
    <w:unhideWhenUsed/>
    <w:qFormat/>
    <w:uiPriority w:val="99"/>
    <w:rPr>
      <w:rFonts w:ascii="宋体" w:eastAsia="宋体"/>
      <w:sz w:val="18"/>
      <w:szCs w:val="18"/>
    </w:rPr>
  </w:style>
  <w:style w:type="paragraph" w:styleId="17">
    <w:name w:val="footer"/>
    <w:basedOn w:val="1"/>
    <w:link w:val="37"/>
    <w:qFormat/>
    <w:uiPriority w:val="99"/>
    <w:pPr>
      <w:widowControl/>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18">
    <w:name w:val="header"/>
    <w:basedOn w:val="1"/>
    <w:link w:val="38"/>
    <w:qFormat/>
    <w:uiPriority w:val="99"/>
    <w:pPr>
      <w:widowControl/>
      <w:pBdr>
        <w:bottom w:val="single" w:color="auto" w:sz="6" w:space="1"/>
      </w:pBdr>
      <w:tabs>
        <w:tab w:val="center" w:pos="4153"/>
        <w:tab w:val="right" w:pos="8306"/>
      </w:tabs>
      <w:snapToGrid w:val="0"/>
      <w:ind w:left="5355"/>
      <w:jc w:val="center"/>
    </w:pPr>
    <w:rPr>
      <w:rFonts w:ascii="Times New Roman" w:hAnsi="Times New Roman" w:eastAsia="宋体" w:cs="Times New Roman"/>
      <w:sz w:val="18"/>
      <w:szCs w:val="18"/>
    </w:rPr>
  </w:style>
  <w:style w:type="paragraph" w:styleId="19">
    <w:name w:val="toc 1"/>
    <w:basedOn w:val="1"/>
    <w:next w:val="1"/>
    <w:unhideWhenUsed/>
    <w:qFormat/>
    <w:uiPriority w:val="39"/>
    <w:pPr>
      <w:spacing w:before="120" w:after="120"/>
      <w:jc w:val="left"/>
    </w:pPr>
    <w:rPr>
      <w:rFonts w:eastAsiaTheme="minorHAnsi"/>
      <w:b/>
      <w:bCs/>
      <w:caps/>
      <w:sz w:val="20"/>
      <w:szCs w:val="20"/>
    </w:rPr>
  </w:style>
  <w:style w:type="paragraph" w:styleId="20">
    <w:name w:val="toc 4"/>
    <w:basedOn w:val="1"/>
    <w:next w:val="1"/>
    <w:semiHidden/>
    <w:unhideWhenUsed/>
    <w:qFormat/>
    <w:uiPriority w:val="39"/>
    <w:pPr>
      <w:ind w:left="630"/>
      <w:jc w:val="left"/>
    </w:pPr>
    <w:rPr>
      <w:rFonts w:eastAsiaTheme="minorHAnsi"/>
      <w:sz w:val="18"/>
      <w:szCs w:val="18"/>
    </w:rPr>
  </w:style>
  <w:style w:type="paragraph" w:styleId="21">
    <w:name w:val="toc 6"/>
    <w:basedOn w:val="1"/>
    <w:next w:val="1"/>
    <w:semiHidden/>
    <w:unhideWhenUsed/>
    <w:qFormat/>
    <w:uiPriority w:val="39"/>
    <w:pPr>
      <w:ind w:left="1050"/>
      <w:jc w:val="left"/>
    </w:pPr>
    <w:rPr>
      <w:rFonts w:eastAsiaTheme="minorHAnsi"/>
      <w:sz w:val="18"/>
      <w:szCs w:val="18"/>
    </w:rPr>
  </w:style>
  <w:style w:type="paragraph" w:styleId="22">
    <w:name w:val="toc 2"/>
    <w:basedOn w:val="1"/>
    <w:next w:val="1"/>
    <w:unhideWhenUsed/>
    <w:qFormat/>
    <w:uiPriority w:val="39"/>
    <w:pPr>
      <w:ind w:left="210"/>
      <w:jc w:val="left"/>
    </w:pPr>
    <w:rPr>
      <w:rFonts w:eastAsiaTheme="minorHAnsi"/>
      <w:smallCaps/>
      <w:sz w:val="20"/>
      <w:szCs w:val="20"/>
    </w:rPr>
  </w:style>
  <w:style w:type="paragraph" w:styleId="23">
    <w:name w:val="toc 9"/>
    <w:basedOn w:val="1"/>
    <w:next w:val="1"/>
    <w:semiHidden/>
    <w:unhideWhenUsed/>
    <w:qFormat/>
    <w:uiPriority w:val="39"/>
    <w:pPr>
      <w:ind w:left="1680"/>
      <w:jc w:val="left"/>
    </w:pPr>
    <w:rPr>
      <w:rFonts w:eastAsiaTheme="minorHAnsi"/>
      <w:sz w:val="18"/>
      <w:szCs w:val="18"/>
    </w:rPr>
  </w:style>
  <w:style w:type="paragraph" w:styleId="24">
    <w:name w:val="HTML Preformatted"/>
    <w:basedOn w:val="1"/>
    <w:link w:val="57"/>
    <w:qFormat/>
    <w:uiPriority w:val="99"/>
    <w:pPr>
      <w:widowControl/>
      <w:jc w:val="left"/>
    </w:pPr>
    <w:rPr>
      <w:rFonts w:ascii="Courier New" w:hAnsi="Courier New" w:eastAsia="宋体" w:cs="Times New Roman"/>
      <w:sz w:val="20"/>
      <w:szCs w:val="20"/>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6">
    <w:name w:val="Title"/>
    <w:basedOn w:val="1"/>
    <w:next w:val="1"/>
    <w:link w:val="56"/>
    <w:qFormat/>
    <w:uiPriority w:val="10"/>
    <w:pPr>
      <w:widowControl/>
      <w:spacing w:before="240" w:after="60"/>
      <w:jc w:val="center"/>
      <w:outlineLvl w:val="0"/>
    </w:pPr>
    <w:rPr>
      <w:rFonts w:ascii="Cambria" w:hAnsi="Cambria" w:eastAsia="黑体" w:cs="Times New Roman"/>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FollowedHyperlink"/>
    <w:qFormat/>
    <w:uiPriority w:val="99"/>
    <w:rPr>
      <w:color w:val="800080"/>
      <w:u w:val="single"/>
    </w:rPr>
  </w:style>
  <w:style w:type="character" w:styleId="32">
    <w:name w:val="Hyperlink"/>
    <w:basedOn w:val="29"/>
    <w:unhideWhenUsed/>
    <w:qFormat/>
    <w:uiPriority w:val="99"/>
    <w:rPr>
      <w:color w:val="0563C1" w:themeColor="hyperlink"/>
      <w:u w:val="single"/>
      <w14:textFill>
        <w14:solidFill>
          <w14:schemeClr w14:val="hlink"/>
        </w14:solidFill>
      </w14:textFill>
    </w:rPr>
  </w:style>
  <w:style w:type="paragraph" w:customStyle="1" w:styleId="33">
    <w:name w:val="段"/>
    <w:link w:val="34"/>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段 Char"/>
    <w:link w:val="33"/>
    <w:qFormat/>
    <w:uiPriority w:val="99"/>
    <w:rPr>
      <w:rFonts w:ascii="宋体" w:hAnsi="Times New Roman" w:eastAsia="宋体" w:cs="Times New Roman"/>
      <w:kern w:val="0"/>
      <w:szCs w:val="20"/>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6">
    <w:name w:val="List Paragraph"/>
    <w:basedOn w:val="1"/>
    <w:qFormat/>
    <w:uiPriority w:val="34"/>
    <w:pPr>
      <w:ind w:firstLine="420" w:firstLineChars="200"/>
    </w:pPr>
    <w:rPr>
      <w:rFonts w:ascii="Times New Roman" w:hAnsi="Times New Roman" w:eastAsia="宋体" w:cs="Times New Roman"/>
      <w:szCs w:val="21"/>
    </w:rPr>
  </w:style>
  <w:style w:type="character" w:customStyle="1" w:styleId="37">
    <w:name w:val="页脚 Char"/>
    <w:basedOn w:val="29"/>
    <w:link w:val="17"/>
    <w:qFormat/>
    <w:uiPriority w:val="99"/>
    <w:rPr>
      <w:rFonts w:ascii="Times New Roman" w:hAnsi="Times New Roman" w:eastAsia="宋体" w:cs="Times New Roman"/>
      <w:sz w:val="18"/>
      <w:szCs w:val="18"/>
    </w:rPr>
  </w:style>
  <w:style w:type="character" w:customStyle="1" w:styleId="38">
    <w:name w:val="页眉 Char"/>
    <w:basedOn w:val="29"/>
    <w:link w:val="18"/>
    <w:qFormat/>
    <w:uiPriority w:val="99"/>
    <w:rPr>
      <w:rFonts w:ascii="Times New Roman" w:hAnsi="Times New Roman" w:eastAsia="宋体" w:cs="Times New Roman"/>
      <w:sz w:val="18"/>
      <w:szCs w:val="18"/>
    </w:rPr>
  </w:style>
  <w:style w:type="paragraph" w:customStyle="1" w:styleId="39">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41">
    <w:name w:val="中等深浅网格 2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实施日期"/>
    <w:basedOn w:val="44"/>
    <w:qFormat/>
    <w:uiPriority w:val="99"/>
    <w:pPr>
      <w:framePr w:hSpace="0" w:wrap="around" w:xAlign="right"/>
      <w:numPr>
        <w:ilvl w:val="4"/>
        <w:numId w:val="2"/>
      </w:numPr>
      <w:jc w:val="right"/>
    </w:pPr>
  </w:style>
  <w:style w:type="paragraph" w:customStyle="1" w:styleId="4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其他发布部门"/>
    <w:basedOn w:val="1"/>
    <w:qFormat/>
    <w:uiPriority w:val="99"/>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47">
    <w:name w:val="图表脚注"/>
    <w:next w:val="33"/>
    <w:qFormat/>
    <w:uiPriority w:val="99"/>
    <w:pPr>
      <w:numPr>
        <w:ilvl w:val="5"/>
        <w:numId w:val="2"/>
      </w:numPr>
      <w:ind w:left="300" w:leftChars="200" w:hanging="100" w:hangingChars="100"/>
      <w:jc w:val="both"/>
    </w:pPr>
    <w:rPr>
      <w:rFonts w:ascii="宋体" w:hAnsi="Times New Roman" w:eastAsia="宋体" w:cs="Times New Roman"/>
      <w:sz w:val="18"/>
      <w:lang w:val="en-US" w:eastAsia="zh-CN" w:bidi="ar-SA"/>
    </w:rPr>
  </w:style>
  <w:style w:type="paragraph" w:customStyle="1" w:styleId="4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49">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2">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character" w:customStyle="1" w:styleId="53">
    <w:name w:val="未处理的提及1"/>
    <w:basedOn w:val="29"/>
    <w:semiHidden/>
    <w:unhideWhenUsed/>
    <w:qFormat/>
    <w:uiPriority w:val="99"/>
    <w:rPr>
      <w:color w:val="605E5C"/>
      <w:shd w:val="clear" w:color="auto" w:fill="E1DFDD"/>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标题 Char"/>
    <w:basedOn w:val="29"/>
    <w:link w:val="26"/>
    <w:qFormat/>
    <w:uiPriority w:val="10"/>
    <w:rPr>
      <w:rFonts w:ascii="Cambria" w:hAnsi="Cambria" w:eastAsia="黑体" w:cs="Times New Roman"/>
      <w:b/>
      <w:bCs/>
      <w:sz w:val="32"/>
      <w:szCs w:val="32"/>
    </w:rPr>
  </w:style>
  <w:style w:type="character" w:customStyle="1" w:styleId="57">
    <w:name w:val="HTML 预设格式 Char"/>
    <w:basedOn w:val="29"/>
    <w:link w:val="24"/>
    <w:qFormat/>
    <w:uiPriority w:val="99"/>
    <w:rPr>
      <w:rFonts w:ascii="Courier New" w:hAnsi="Courier New" w:eastAsia="宋体" w:cs="Times New Roman"/>
      <w:sz w:val="20"/>
      <w:szCs w:val="20"/>
    </w:rPr>
  </w:style>
  <w:style w:type="paragraph" w:customStyle="1" w:styleId="58">
    <w:name w:val="列出段落1"/>
    <w:basedOn w:val="1"/>
    <w:qFormat/>
    <w:uiPriority w:val="34"/>
    <w:pPr>
      <w:ind w:firstLine="420" w:firstLineChars="200"/>
    </w:pPr>
    <w:rPr>
      <w:rFonts w:ascii="Times New Roman" w:hAnsi="Times New Roman" w:eastAsia="宋体" w:cs="Times New Roman"/>
      <w:szCs w:val="21"/>
    </w:rPr>
  </w:style>
  <w:style w:type="paragraph" w:customStyle="1" w:styleId="59">
    <w:name w:val="无间隔1"/>
    <w:qFormat/>
    <w:uiPriority w:val="1"/>
    <w:rPr>
      <w:rFonts w:ascii="Times New Roman" w:hAnsi="Times New Roman" w:eastAsia="宋体" w:cs="Times New Roman"/>
      <w:sz w:val="24"/>
      <w:szCs w:val="24"/>
      <w:lang w:val="en-US" w:eastAsia="zh-CN" w:bidi="ar-SA"/>
    </w:rPr>
  </w:style>
  <w:style w:type="paragraph" w:customStyle="1" w:styleId="60">
    <w:name w:val="列表段落1"/>
    <w:basedOn w:val="1"/>
    <w:qFormat/>
    <w:uiPriority w:val="34"/>
    <w:pPr>
      <w:ind w:firstLine="420" w:firstLineChars="200"/>
    </w:pPr>
    <w:rPr>
      <w:rFonts w:ascii="Times New Roman" w:hAnsi="Times New Roman" w:eastAsia="宋体" w:cs="Times New Roman"/>
      <w:szCs w:val="21"/>
    </w:rPr>
  </w:style>
  <w:style w:type="character" w:customStyle="1" w:styleId="61">
    <w:name w:val="apple-converted-space"/>
    <w:basedOn w:val="29"/>
    <w:qFormat/>
    <w:uiPriority w:val="0"/>
  </w:style>
  <w:style w:type="character" w:customStyle="1" w:styleId="62">
    <w:name w:val="标题 1 Char"/>
    <w:basedOn w:val="29"/>
    <w:link w:val="2"/>
    <w:qFormat/>
    <w:uiPriority w:val="9"/>
    <w:rPr>
      <w:rFonts w:ascii="黑体" w:hAnsi="黑体" w:eastAsia="黑体" w:cs="Times New Roman"/>
      <w:bCs/>
      <w:color w:val="000000"/>
      <w:kern w:val="44"/>
      <w:szCs w:val="44"/>
    </w:rPr>
  </w:style>
  <w:style w:type="character" w:customStyle="1" w:styleId="63">
    <w:name w:val="标题 2 Char"/>
    <w:basedOn w:val="29"/>
    <w:link w:val="3"/>
    <w:qFormat/>
    <w:uiPriority w:val="99"/>
    <w:rPr>
      <w:rFonts w:ascii="宋体" w:hAnsi="宋体" w:eastAsia="黑体" w:cs="Times New Roman"/>
      <w:bCs/>
      <w:szCs w:val="32"/>
    </w:rPr>
  </w:style>
  <w:style w:type="character" w:customStyle="1" w:styleId="64">
    <w:name w:val="标题 3 Char"/>
    <w:basedOn w:val="29"/>
    <w:link w:val="4"/>
    <w:qFormat/>
    <w:uiPriority w:val="9"/>
    <w:rPr>
      <w:rFonts w:ascii="Times New Roman" w:hAnsi="Times New Roman" w:eastAsia="黑体" w:cs="Times New Roman"/>
      <w:bCs/>
      <w:szCs w:val="32"/>
    </w:rPr>
  </w:style>
  <w:style w:type="character" w:customStyle="1" w:styleId="65">
    <w:name w:val="标题 4 Char"/>
    <w:basedOn w:val="29"/>
    <w:link w:val="5"/>
    <w:qFormat/>
    <w:uiPriority w:val="9"/>
    <w:rPr>
      <w:rFonts w:ascii="Arial" w:hAnsi="Arial" w:eastAsia="黑体" w:cs="Times New Roman"/>
      <w:b/>
      <w:bCs/>
      <w:sz w:val="28"/>
      <w:szCs w:val="28"/>
    </w:rPr>
  </w:style>
  <w:style w:type="character" w:customStyle="1" w:styleId="66">
    <w:name w:val="标题 5 Char"/>
    <w:basedOn w:val="29"/>
    <w:link w:val="6"/>
    <w:qFormat/>
    <w:uiPriority w:val="9"/>
    <w:rPr>
      <w:rFonts w:ascii="Times New Roman" w:hAnsi="Times New Roman" w:eastAsia="宋体" w:cs="Times New Roman"/>
      <w:b/>
      <w:bCs/>
      <w:sz w:val="28"/>
      <w:szCs w:val="28"/>
    </w:rPr>
  </w:style>
  <w:style w:type="character" w:customStyle="1" w:styleId="67">
    <w:name w:val="标题 6 Char"/>
    <w:basedOn w:val="29"/>
    <w:link w:val="7"/>
    <w:qFormat/>
    <w:uiPriority w:val="99"/>
    <w:rPr>
      <w:rFonts w:ascii="Arial" w:hAnsi="Arial" w:eastAsia="黑体" w:cs="Times New Roman"/>
      <w:b/>
      <w:bCs/>
      <w:sz w:val="24"/>
    </w:rPr>
  </w:style>
  <w:style w:type="character" w:customStyle="1" w:styleId="68">
    <w:name w:val="标题 7 Char"/>
    <w:basedOn w:val="29"/>
    <w:link w:val="8"/>
    <w:qFormat/>
    <w:uiPriority w:val="99"/>
    <w:rPr>
      <w:rFonts w:ascii="Times New Roman" w:hAnsi="Times New Roman" w:eastAsia="宋体" w:cs="Times New Roman"/>
      <w:b/>
      <w:bCs/>
      <w:sz w:val="24"/>
    </w:rPr>
  </w:style>
  <w:style w:type="character" w:customStyle="1" w:styleId="69">
    <w:name w:val="标题 8 Char"/>
    <w:basedOn w:val="29"/>
    <w:link w:val="9"/>
    <w:qFormat/>
    <w:uiPriority w:val="99"/>
    <w:rPr>
      <w:rFonts w:ascii="Arial" w:hAnsi="Arial" w:eastAsia="黑体" w:cs="Times New Roman"/>
      <w:sz w:val="24"/>
    </w:rPr>
  </w:style>
  <w:style w:type="character" w:customStyle="1" w:styleId="70">
    <w:name w:val="标题 9 Char"/>
    <w:basedOn w:val="29"/>
    <w:link w:val="10"/>
    <w:qFormat/>
    <w:uiPriority w:val="99"/>
    <w:rPr>
      <w:rFonts w:ascii="Arial" w:hAnsi="Arial" w:eastAsia="黑体" w:cs="Times New Roman"/>
      <w:szCs w:val="21"/>
    </w:rPr>
  </w:style>
  <w:style w:type="paragraph" w:customStyle="1" w:styleId="7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72">
    <w:name w:val="批注框文本 Char"/>
    <w:basedOn w:val="29"/>
    <w:link w:val="16"/>
    <w:semiHidden/>
    <w:qFormat/>
    <w:uiPriority w:val="99"/>
    <w:rPr>
      <w:rFonts w:ascii="宋体" w:hAnsiTheme="minorHAnsi" w:cstheme="minorBidi"/>
      <w:kern w:val="2"/>
      <w:sz w:val="18"/>
      <w:szCs w:val="18"/>
    </w:rPr>
  </w:style>
  <w:style w:type="paragraph" w:customStyle="1" w:styleId="73">
    <w:name w:val="TOC 标题1"/>
    <w:basedOn w:val="2"/>
    <w:next w:val="1"/>
    <w:unhideWhenUsed/>
    <w:qFormat/>
    <w:uiPriority w:val="39"/>
    <w:pPr>
      <w:numPr>
        <w:numId w:val="0"/>
      </w:numPr>
      <w:snapToGrid/>
      <w:spacing w:before="480" w:beforeLines="0" w:afterLines="0" w:line="276" w:lineRule="auto"/>
      <w:outlineLvl w:val="9"/>
    </w:pPr>
    <w:rPr>
      <w:rFonts w:asciiTheme="majorHAnsi" w:hAnsiTheme="majorHAnsi" w:eastAsiaTheme="majorEastAsia" w:cstheme="majorBidi"/>
      <w:b/>
      <w:color w:val="2F5597"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B1B85-7162-4A52-B4CC-A185C0A3BDA7}">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4430</Words>
  <Characters>25255</Characters>
  <Lines>210</Lines>
  <Paragraphs>59</Paragraphs>
  <TotalTime>35</TotalTime>
  <ScaleCrop>false</ScaleCrop>
  <LinksUpToDate>false</LinksUpToDate>
  <CharactersWithSpaces>29626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2021-12-15T08:36:00Z</dcterms:created>
  <dc:creator>Z2097</dc:creator>
  <cp:lastModifiedBy>人在天涯</cp:lastModifiedBy>
  <dcterms:modified xsi:type="dcterms:W3CDTF">2021-12-16T02:04:13Z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E3C7A7293C6D47D19A3A3F3E0BE93E50</vt:lpwstr>
  </property>
</Properties>
</file>